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AF78" w14:textId="77777777" w:rsidR="0034713A" w:rsidRPr="00D87821" w:rsidRDefault="0034713A">
      <w:pPr>
        <w:ind w:right="-720"/>
        <w:rPr>
          <w:b/>
          <w:bCs/>
        </w:rPr>
      </w:pPr>
    </w:p>
    <w:p w14:paraId="6A8A6F2A" w14:textId="049D95F5" w:rsidR="006E7530" w:rsidRDefault="00937BB8" w:rsidP="006E7530">
      <w:pPr>
        <w:jc w:val="center"/>
      </w:pPr>
      <w:r w:rsidRPr="00D87821">
        <w:t xml:space="preserve">POL </w:t>
      </w:r>
      <w:r w:rsidR="006E7530">
        <w:t>05.45.02</w:t>
      </w:r>
      <w:r w:rsidR="00696D04" w:rsidRPr="00D87821">
        <w:t xml:space="preserve">  </w:t>
      </w:r>
    </w:p>
    <w:p w14:paraId="117B1E7C" w14:textId="13F2F414" w:rsidR="00696D04" w:rsidRPr="00D87821" w:rsidRDefault="00696D04" w:rsidP="006E7530">
      <w:pPr>
        <w:jc w:val="center"/>
      </w:pPr>
      <w:r w:rsidRPr="00D87821">
        <w:t>Secondary Employment</w:t>
      </w:r>
    </w:p>
    <w:p w14:paraId="5539D426" w14:textId="137F687B" w:rsidR="00937BB8" w:rsidRPr="00D87821" w:rsidRDefault="00937BB8" w:rsidP="00937BB8">
      <w:pPr>
        <w:spacing w:before="100" w:beforeAutospacing="1" w:after="100" w:afterAutospacing="1"/>
        <w:rPr>
          <w:b/>
          <w:bCs/>
        </w:rPr>
      </w:pPr>
      <w:r w:rsidRPr="00D87821">
        <w:rPr>
          <w:b/>
          <w:bCs/>
        </w:rPr>
        <w:t>Authority:</w:t>
      </w:r>
      <w:r w:rsidR="00B7459F" w:rsidRPr="00D87821">
        <w:rPr>
          <w:b/>
          <w:bCs/>
        </w:rPr>
        <w:t xml:space="preserve"> </w:t>
      </w:r>
      <w:r w:rsidR="001300DE" w:rsidRPr="006E7530">
        <w:t>Chancellor</w:t>
      </w:r>
    </w:p>
    <w:p w14:paraId="0E7AD353" w14:textId="77777777" w:rsidR="00CF7CC5" w:rsidRPr="00D87821" w:rsidRDefault="00937BB8" w:rsidP="00937BB8">
      <w:pPr>
        <w:spacing w:before="100" w:beforeAutospacing="1" w:after="100" w:afterAutospacing="1"/>
        <w:rPr>
          <w:b/>
          <w:bCs/>
        </w:rPr>
      </w:pPr>
      <w:r w:rsidRPr="00D87821">
        <w:rPr>
          <w:b/>
          <w:bCs/>
        </w:rPr>
        <w:t xml:space="preserve">History: </w:t>
      </w:r>
    </w:p>
    <w:p w14:paraId="35E10747" w14:textId="17921071" w:rsidR="00CF7CC5" w:rsidRPr="00D87821" w:rsidRDefault="00CF7CC5" w:rsidP="00CF7CC5">
      <w:pPr>
        <w:pStyle w:val="ListParagraph"/>
        <w:numPr>
          <w:ilvl w:val="0"/>
          <w:numId w:val="14"/>
        </w:numPr>
        <w:spacing w:before="100" w:beforeAutospacing="1" w:after="100" w:afterAutospacing="1"/>
        <w:rPr>
          <w:b/>
          <w:bCs/>
        </w:rPr>
      </w:pPr>
      <w:r w:rsidRPr="00D87821">
        <w:t>First issued:</w:t>
      </w:r>
      <w:r w:rsidR="00937BB8" w:rsidRPr="00D87821">
        <w:t xml:space="preserve"> </w:t>
      </w:r>
      <w:r w:rsidR="008717B4" w:rsidRPr="00D87821">
        <w:t>October 2002</w:t>
      </w:r>
    </w:p>
    <w:p w14:paraId="0A5EB613" w14:textId="598D7A9E" w:rsidR="00CF7CC5" w:rsidRPr="00D87821" w:rsidRDefault="00CF7CC5" w:rsidP="00CF7CC5">
      <w:pPr>
        <w:pStyle w:val="ListParagraph"/>
        <w:numPr>
          <w:ilvl w:val="0"/>
          <w:numId w:val="14"/>
        </w:numPr>
        <w:spacing w:before="100" w:beforeAutospacing="1" w:after="100" w:afterAutospacing="1"/>
        <w:rPr>
          <w:b/>
          <w:bCs/>
        </w:rPr>
      </w:pPr>
      <w:r w:rsidRPr="00D87821">
        <w:t>R</w:t>
      </w:r>
      <w:r w:rsidR="008717B4" w:rsidRPr="00D87821">
        <w:t>evised</w:t>
      </w:r>
      <w:r w:rsidRPr="00D87821">
        <w:t>:</w:t>
      </w:r>
      <w:r w:rsidR="008717B4" w:rsidRPr="00D87821">
        <w:t xml:space="preserve"> </w:t>
      </w:r>
      <w:r w:rsidR="00937BB8" w:rsidRPr="00D87821">
        <w:t>September 2005</w:t>
      </w:r>
    </w:p>
    <w:p w14:paraId="3E69D6E9" w14:textId="45230FB3" w:rsidR="00937BB8" w:rsidRPr="00D87821" w:rsidRDefault="00CF7CC5" w:rsidP="00CF7CC5">
      <w:pPr>
        <w:pStyle w:val="ListParagraph"/>
        <w:numPr>
          <w:ilvl w:val="0"/>
          <w:numId w:val="14"/>
        </w:numPr>
        <w:spacing w:before="100" w:beforeAutospacing="1" w:after="100" w:afterAutospacing="1"/>
        <w:rPr>
          <w:b/>
          <w:bCs/>
        </w:rPr>
      </w:pPr>
      <w:r w:rsidRPr="00D87821">
        <w:t>L</w:t>
      </w:r>
      <w:r w:rsidR="00937BB8" w:rsidRPr="00D87821">
        <w:t>ast revised</w:t>
      </w:r>
      <w:r w:rsidRPr="00D87821">
        <w:t>:</w:t>
      </w:r>
      <w:r w:rsidR="00937BB8" w:rsidRPr="00D87821">
        <w:t xml:space="preserve"> </w:t>
      </w:r>
      <w:r w:rsidR="00AE7ED0">
        <w:t xml:space="preserve">April </w:t>
      </w:r>
      <w:r w:rsidR="00937BB8" w:rsidRPr="00D87821">
        <w:t>2022</w:t>
      </w:r>
    </w:p>
    <w:p w14:paraId="0DE4FE7E" w14:textId="5DD7D3D9" w:rsidR="00937BB8" w:rsidRPr="00D87821" w:rsidRDefault="00937BB8" w:rsidP="00937BB8">
      <w:pPr>
        <w:spacing w:before="100" w:beforeAutospacing="1" w:after="100" w:afterAutospacing="1"/>
        <w:rPr>
          <w:b/>
          <w:bCs/>
        </w:rPr>
      </w:pPr>
      <w:r w:rsidRPr="00D87821">
        <w:rPr>
          <w:b/>
          <w:bCs/>
        </w:rPr>
        <w:t>Related Policies:</w:t>
      </w:r>
      <w:r w:rsidR="004847D4" w:rsidRPr="00D87821">
        <w:rPr>
          <w:b/>
          <w:bCs/>
        </w:rPr>
        <w:t xml:space="preserve"> </w:t>
      </w:r>
    </w:p>
    <w:p w14:paraId="4A772B29" w14:textId="50145D2F" w:rsidR="00997845" w:rsidRPr="005925A5" w:rsidRDefault="00130C88" w:rsidP="00D87821">
      <w:pPr>
        <w:pStyle w:val="ListParagraph"/>
        <w:numPr>
          <w:ilvl w:val="0"/>
          <w:numId w:val="15"/>
        </w:numPr>
        <w:tabs>
          <w:tab w:val="left" w:pos="-1440"/>
        </w:tabs>
        <w:rPr>
          <w:rStyle w:val="Hyperlink"/>
          <w:color w:val="auto"/>
          <w:u w:val="none"/>
        </w:rPr>
      </w:pPr>
      <w:hyperlink r:id="rId8" w:history="1">
        <w:r w:rsidR="000A7B3A" w:rsidRPr="00D87821">
          <w:rPr>
            <w:rStyle w:val="Hyperlink"/>
          </w:rPr>
          <w:t>POL 05.45.01 - Policy on Conflicts of Commitment and Interest Affecting University Employment</w:t>
        </w:r>
      </w:hyperlink>
    </w:p>
    <w:p w14:paraId="5E1F2AE2" w14:textId="77777777" w:rsidR="005925A5" w:rsidRPr="00017F1C" w:rsidRDefault="00130C88" w:rsidP="005925A5">
      <w:pPr>
        <w:pStyle w:val="ListParagraph"/>
        <w:numPr>
          <w:ilvl w:val="0"/>
          <w:numId w:val="15"/>
        </w:numPr>
        <w:spacing w:before="100" w:beforeAutospacing="1" w:after="100" w:afterAutospacing="1"/>
      </w:pPr>
      <w:hyperlink r:id="rId9" w:history="1">
        <w:r w:rsidR="005925A5" w:rsidRPr="00D87821">
          <w:rPr>
            <w:rStyle w:val="Hyperlink"/>
          </w:rPr>
          <w:t>OSHR Disciplinary Action Policy</w:t>
        </w:r>
      </w:hyperlink>
    </w:p>
    <w:p w14:paraId="3847B047" w14:textId="696406D3" w:rsidR="005925A5" w:rsidRPr="005925A5" w:rsidRDefault="005925A5" w:rsidP="00017F1C">
      <w:pPr>
        <w:pStyle w:val="ListParagraph"/>
        <w:numPr>
          <w:ilvl w:val="0"/>
          <w:numId w:val="15"/>
        </w:numPr>
        <w:tabs>
          <w:tab w:val="left" w:pos="-1440"/>
        </w:tabs>
        <w:rPr>
          <w:rStyle w:val="Hyperlink"/>
        </w:rPr>
      </w:pPr>
      <w:r>
        <w:fldChar w:fldCharType="begin"/>
      </w:r>
      <w:r>
        <w:instrText xml:space="preserve"> HYPERLINK "https://oshr.nc.gov/media/3462/open" </w:instrText>
      </w:r>
      <w:r>
        <w:fldChar w:fldCharType="separate"/>
      </w:r>
      <w:r w:rsidRPr="005925A5">
        <w:rPr>
          <w:rStyle w:val="Hyperlink"/>
        </w:rPr>
        <w:t>SHRA Grievance Policy</w:t>
      </w:r>
    </w:p>
    <w:p w14:paraId="3C17E62D" w14:textId="38F3D5E1" w:rsidR="00D87821" w:rsidRPr="00D87821" w:rsidRDefault="005925A5" w:rsidP="00D87821">
      <w:pPr>
        <w:spacing w:before="100" w:beforeAutospacing="1" w:after="100" w:afterAutospacing="1"/>
        <w:rPr>
          <w:b/>
          <w:bCs/>
        </w:rPr>
      </w:pPr>
      <w:r>
        <w:fldChar w:fldCharType="end"/>
      </w:r>
      <w:r w:rsidR="00937BB8" w:rsidRPr="00D87821">
        <w:rPr>
          <w:b/>
          <w:bCs/>
        </w:rPr>
        <w:t>Additional References:</w:t>
      </w:r>
      <w:r w:rsidR="00B7459F" w:rsidRPr="00D87821">
        <w:rPr>
          <w:b/>
          <w:bCs/>
        </w:rPr>
        <w:t xml:space="preserve"> </w:t>
      </w:r>
    </w:p>
    <w:p w14:paraId="00AF88B6" w14:textId="77777777" w:rsidR="00D87821" w:rsidRPr="00D87821" w:rsidRDefault="00D87821" w:rsidP="00D87821">
      <w:pPr>
        <w:pStyle w:val="ListParagraph"/>
        <w:numPr>
          <w:ilvl w:val="0"/>
          <w:numId w:val="16"/>
        </w:numPr>
        <w:spacing w:before="100" w:beforeAutospacing="1" w:after="100" w:afterAutospacing="1"/>
      </w:pPr>
      <w:r w:rsidRPr="00D87821">
        <w:t xml:space="preserve">NC Office of State Human Resources </w:t>
      </w:r>
      <w:hyperlink r:id="rId10" w:anchor=":~:text=The%20employment%20responsibilities%20to%20the,engaging%20in%20any%20secondary%20employment." w:history="1">
        <w:r w:rsidRPr="00D87821">
          <w:rPr>
            <w:rStyle w:val="Hyperlink"/>
          </w:rPr>
          <w:t>Secondary Employment Policy</w:t>
        </w:r>
      </w:hyperlink>
    </w:p>
    <w:p w14:paraId="411BE5CD" w14:textId="23E37F59" w:rsidR="00B13A1D" w:rsidRDefault="00D87821" w:rsidP="005925A5">
      <w:pPr>
        <w:pStyle w:val="ListParagraph"/>
        <w:numPr>
          <w:ilvl w:val="0"/>
          <w:numId w:val="16"/>
        </w:numPr>
        <w:spacing w:before="100" w:beforeAutospacing="1" w:after="100" w:afterAutospacing="1"/>
      </w:pPr>
      <w:r w:rsidRPr="00D87821">
        <w:t xml:space="preserve">NC Office of State Human Resources </w:t>
      </w:r>
      <w:hyperlink r:id="rId11" w:history="1">
        <w:r w:rsidRPr="00D87821">
          <w:rPr>
            <w:rStyle w:val="Hyperlink"/>
          </w:rPr>
          <w:t>Dual Employment Policy</w:t>
        </w:r>
      </w:hyperlink>
    </w:p>
    <w:p w14:paraId="2E848318" w14:textId="3968563C" w:rsidR="00D87821" w:rsidRPr="00D87821" w:rsidRDefault="00130C88" w:rsidP="00D87821">
      <w:pPr>
        <w:pStyle w:val="ListParagraph"/>
        <w:numPr>
          <w:ilvl w:val="0"/>
          <w:numId w:val="16"/>
        </w:numPr>
        <w:spacing w:before="100" w:beforeAutospacing="1" w:after="100" w:afterAutospacing="1"/>
      </w:pPr>
      <w:hyperlink r:id="rId12" w:history="1">
        <w:r w:rsidR="00B13A1D" w:rsidRPr="00B13A1D">
          <w:rPr>
            <w:rStyle w:val="Hyperlink"/>
          </w:rPr>
          <w:t>N.C.</w:t>
        </w:r>
        <w:r w:rsidR="00FF24AB" w:rsidRPr="00B13A1D">
          <w:rPr>
            <w:rStyle w:val="Hyperlink"/>
          </w:rPr>
          <w:t>G.</w:t>
        </w:r>
        <w:r w:rsidR="00C52F70" w:rsidRPr="00B13A1D">
          <w:rPr>
            <w:rStyle w:val="Hyperlink"/>
          </w:rPr>
          <w:t>S. 126-4</w:t>
        </w:r>
      </w:hyperlink>
    </w:p>
    <w:p w14:paraId="3BA080B2" w14:textId="0B22A5E5" w:rsidR="000C0A90" w:rsidRPr="000C0A90" w:rsidRDefault="00130C88" w:rsidP="000C0A90">
      <w:pPr>
        <w:pStyle w:val="ListParagraph"/>
        <w:numPr>
          <w:ilvl w:val="0"/>
          <w:numId w:val="16"/>
        </w:numPr>
        <w:spacing w:before="100" w:beforeAutospacing="1" w:after="100" w:afterAutospacing="1"/>
        <w:rPr>
          <w:b/>
          <w:bCs/>
        </w:rPr>
      </w:pPr>
      <w:hyperlink r:id="rId13" w:history="1">
        <w:r w:rsidR="00C52F70" w:rsidRPr="00B13A1D">
          <w:rPr>
            <w:rStyle w:val="Hyperlink"/>
          </w:rPr>
          <w:t>UNC Policy 300.</w:t>
        </w:r>
        <w:r w:rsidR="00E116ED" w:rsidRPr="00B13A1D">
          <w:rPr>
            <w:rStyle w:val="Hyperlink"/>
          </w:rPr>
          <w:t>3.1[R]</w:t>
        </w:r>
        <w:r w:rsidR="00B13A1D" w:rsidRPr="00B13A1D">
          <w:rPr>
            <w:rStyle w:val="Hyperlink"/>
          </w:rPr>
          <w:t xml:space="preserve"> – Delegation of responsibility for Classification and Compensation</w:t>
        </w:r>
      </w:hyperlink>
    </w:p>
    <w:p w14:paraId="6976F153" w14:textId="0F0E0111" w:rsidR="00B13A1D" w:rsidRPr="00D87821" w:rsidRDefault="00130C88" w:rsidP="00B13A1D">
      <w:pPr>
        <w:pStyle w:val="ListParagraph"/>
        <w:numPr>
          <w:ilvl w:val="0"/>
          <w:numId w:val="16"/>
        </w:numPr>
        <w:tabs>
          <w:tab w:val="left" w:pos="-1440"/>
        </w:tabs>
      </w:pPr>
      <w:hyperlink r:id="rId14" w:history="1">
        <w:r w:rsidR="00B13A1D" w:rsidRPr="00D87821">
          <w:rPr>
            <w:rStyle w:val="Hyperlink"/>
          </w:rPr>
          <w:t>Request for Approval of Secondary Employment</w:t>
        </w:r>
      </w:hyperlink>
      <w:r w:rsidR="001C5A09">
        <w:rPr>
          <w:rStyle w:val="Hyperlink"/>
        </w:rPr>
        <w:t xml:space="preserve"> form</w:t>
      </w:r>
    </w:p>
    <w:p w14:paraId="5EAB3757" w14:textId="77777777" w:rsidR="00B13A1D" w:rsidRPr="00D87821" w:rsidRDefault="00B13A1D" w:rsidP="00AE7ED0">
      <w:pPr>
        <w:pStyle w:val="ListParagraph"/>
        <w:spacing w:before="100" w:beforeAutospacing="1" w:after="100" w:afterAutospacing="1"/>
        <w:rPr>
          <w:b/>
          <w:bCs/>
        </w:rPr>
      </w:pPr>
    </w:p>
    <w:p w14:paraId="278D8C83" w14:textId="4B5FA55E" w:rsidR="00DF08F5" w:rsidRDefault="00937BB8" w:rsidP="00DF08F5">
      <w:pPr>
        <w:pStyle w:val="NoSpacing"/>
      </w:pPr>
      <w:r w:rsidRPr="00D87821">
        <w:rPr>
          <w:b/>
          <w:bCs/>
        </w:rPr>
        <w:t xml:space="preserve">Contact Information: </w:t>
      </w:r>
      <w:r w:rsidR="00DF08F5">
        <w:t xml:space="preserve">  Director for Employee Relations and Workforce Development</w:t>
      </w:r>
    </w:p>
    <w:p w14:paraId="2F57D8D2" w14:textId="643E0BAF" w:rsidR="00DF08F5" w:rsidRPr="00D87821" w:rsidRDefault="00DF08F5" w:rsidP="00DF08F5">
      <w:pPr>
        <w:pStyle w:val="NoSpacing"/>
      </w:pPr>
      <w:r>
        <w:tab/>
      </w:r>
      <w:r>
        <w:tab/>
      </w:r>
      <w:r>
        <w:tab/>
        <w:t xml:space="preserve">    </w:t>
      </w:r>
      <w:r w:rsidRPr="00D87821">
        <w:t>Assistant Vice Chancellor for Human Resources, 910-521-6279</w:t>
      </w:r>
    </w:p>
    <w:p w14:paraId="4C791155" w14:textId="77777777" w:rsidR="005512A5" w:rsidRPr="00D87821" w:rsidRDefault="005512A5" w:rsidP="00B2691E">
      <w:pPr>
        <w:pStyle w:val="ListParagraph"/>
        <w:numPr>
          <w:ilvl w:val="0"/>
          <w:numId w:val="7"/>
        </w:numPr>
        <w:spacing w:before="100" w:beforeAutospacing="1" w:after="100" w:afterAutospacing="1"/>
        <w:ind w:left="450" w:hanging="450"/>
      </w:pPr>
      <w:r w:rsidRPr="00D87821">
        <w:rPr>
          <w:b/>
          <w:bCs/>
        </w:rPr>
        <w:t>PURPOSE</w:t>
      </w:r>
    </w:p>
    <w:p w14:paraId="6F2B7084" w14:textId="2829BE91" w:rsidR="00655617" w:rsidRPr="00D87821" w:rsidRDefault="005512A5" w:rsidP="00B2691E">
      <w:pPr>
        <w:spacing w:before="100" w:beforeAutospacing="1" w:after="100" w:afterAutospacing="1"/>
      </w:pPr>
      <w:r w:rsidRPr="00D87821">
        <w:t xml:space="preserve">1.1 </w:t>
      </w:r>
      <w:r w:rsidR="00E87542" w:rsidRPr="00D87821">
        <w:tab/>
      </w:r>
      <w:r w:rsidR="00655617" w:rsidRPr="00D87821">
        <w:t>The employment responsibilities to the State are primary for any employee working full-time; any other employment in which that person chooses to engage is secondary. An employee shall have approval from the manager, supervisor, department chair or dean (or designee) before engaging in any secondary employment. The purpose of this approval procedure is to determine that the secondary employment does not have an adverse effect on the primary employment and does not create a conflict of interest. These provisions for secondary employment apply to all employment except for employment for another North Carolina state agency</w:t>
      </w:r>
      <w:r w:rsidR="00F82BD0">
        <w:t xml:space="preserve"> or university</w:t>
      </w:r>
      <w:r w:rsidR="00655617" w:rsidRPr="00D87821">
        <w:t xml:space="preserve">, which is covered under </w:t>
      </w:r>
      <w:r w:rsidR="001371E6" w:rsidRPr="00D87821">
        <w:t xml:space="preserve">the </w:t>
      </w:r>
      <w:hyperlink r:id="rId15" w:history="1">
        <w:r w:rsidR="00655617" w:rsidRPr="001638A2">
          <w:rPr>
            <w:rStyle w:val="Hyperlink"/>
          </w:rPr>
          <w:t>OSHR Dual Employment</w:t>
        </w:r>
        <w:r w:rsidR="00350482" w:rsidRPr="001638A2">
          <w:rPr>
            <w:rStyle w:val="Hyperlink"/>
          </w:rPr>
          <w:t xml:space="preserve"> Policy</w:t>
        </w:r>
      </w:hyperlink>
      <w:r w:rsidR="00655617" w:rsidRPr="00D87821">
        <w:t>.</w:t>
      </w:r>
    </w:p>
    <w:p w14:paraId="118434DC" w14:textId="3BF5622B" w:rsidR="00655617" w:rsidRDefault="00D87821" w:rsidP="00B2691E">
      <w:pPr>
        <w:pStyle w:val="Default"/>
      </w:pPr>
      <w:r>
        <w:t xml:space="preserve">1.2 </w:t>
      </w:r>
      <w:r w:rsidR="006E7530">
        <w:tab/>
      </w:r>
      <w:r w:rsidR="00655617" w:rsidRPr="00D87821">
        <w:t>Approval for secondary employment may be withdrawn at any time if it is determined that secondary employment has an adverse impact on primary employment.</w:t>
      </w:r>
    </w:p>
    <w:p w14:paraId="4FC3DF2A" w14:textId="77777777" w:rsidR="00017F1C" w:rsidRPr="00D87821" w:rsidRDefault="00017F1C" w:rsidP="00B2691E">
      <w:pPr>
        <w:pStyle w:val="Default"/>
      </w:pPr>
    </w:p>
    <w:p w14:paraId="59473636" w14:textId="77777777" w:rsidR="00655617" w:rsidRPr="00D87821" w:rsidRDefault="00655617" w:rsidP="00B2691E">
      <w:pPr>
        <w:pStyle w:val="Default"/>
      </w:pPr>
    </w:p>
    <w:p w14:paraId="32DA2EFF" w14:textId="6D1E06AB" w:rsidR="005512A5" w:rsidRPr="00B2691E" w:rsidRDefault="00BB0AE8" w:rsidP="00B2691E">
      <w:pPr>
        <w:tabs>
          <w:tab w:val="left" w:pos="-1440"/>
        </w:tabs>
        <w:rPr>
          <w:b/>
        </w:rPr>
      </w:pPr>
      <w:r w:rsidRPr="00D87821">
        <w:rPr>
          <w:b/>
        </w:rPr>
        <w:t xml:space="preserve">2. </w:t>
      </w:r>
      <w:r w:rsidR="005512A5" w:rsidRPr="00B2691E">
        <w:rPr>
          <w:b/>
        </w:rPr>
        <w:t>SCOPE</w:t>
      </w:r>
    </w:p>
    <w:p w14:paraId="7749CC2B" w14:textId="77777777" w:rsidR="00BB2C32" w:rsidRPr="00D87821" w:rsidRDefault="00BB2C32" w:rsidP="00B2691E">
      <w:pPr>
        <w:tabs>
          <w:tab w:val="left" w:pos="-1440"/>
        </w:tabs>
        <w:rPr>
          <w:b/>
        </w:rPr>
      </w:pPr>
    </w:p>
    <w:p w14:paraId="2A36E481" w14:textId="193D9632" w:rsidR="005512A5" w:rsidRPr="00D87821" w:rsidRDefault="00BB0AE8" w:rsidP="00B2691E">
      <w:pPr>
        <w:tabs>
          <w:tab w:val="left" w:pos="-1440"/>
        </w:tabs>
      </w:pPr>
      <w:r w:rsidRPr="00D87821">
        <w:t>2</w:t>
      </w:r>
      <w:r w:rsidR="00BB2C32" w:rsidRPr="00D87821">
        <w:t xml:space="preserve">.1 </w:t>
      </w:r>
      <w:r w:rsidR="006E7530">
        <w:tab/>
      </w:r>
      <w:r w:rsidR="00655617" w:rsidRPr="00D87821">
        <w:t xml:space="preserve">This policy applies to all permanent, time-limited and trainee SHRA </w:t>
      </w:r>
      <w:r w:rsidR="00D125FD">
        <w:t>employees</w:t>
      </w:r>
      <w:r w:rsidR="000143F6" w:rsidRPr="00D87821">
        <w:t xml:space="preserve"> regularly scheduled to work thirty (30) hours per week </w:t>
      </w:r>
      <w:r w:rsidR="009A037A" w:rsidRPr="00D87821">
        <w:t xml:space="preserve">(.75 FTE) </w:t>
      </w:r>
      <w:r w:rsidR="000143F6" w:rsidRPr="00D87821">
        <w:t>or more (who hold full time positions)</w:t>
      </w:r>
      <w:r w:rsidR="00655617" w:rsidRPr="00D87821">
        <w:t xml:space="preserve">. </w:t>
      </w:r>
      <w:r w:rsidR="000143F6" w:rsidRPr="00D87821">
        <w:t xml:space="preserve">EHRA </w:t>
      </w:r>
      <w:r w:rsidR="00655617" w:rsidRPr="00D87821">
        <w:t xml:space="preserve">Faculty and </w:t>
      </w:r>
      <w:r w:rsidR="000143F6" w:rsidRPr="00D87821">
        <w:t>N</w:t>
      </w:r>
      <w:r w:rsidR="00655617" w:rsidRPr="00D87821">
        <w:t>on-</w:t>
      </w:r>
      <w:r w:rsidR="000143F6" w:rsidRPr="00D87821">
        <w:t>F</w:t>
      </w:r>
      <w:r w:rsidR="00655617" w:rsidRPr="00D87821">
        <w:t xml:space="preserve">aculty EHRA employees are covered by </w:t>
      </w:r>
      <w:hyperlink r:id="rId16" w:history="1">
        <w:r w:rsidR="00655617" w:rsidRPr="00AE7ED0">
          <w:rPr>
            <w:rStyle w:val="Hyperlink"/>
          </w:rPr>
          <w:t>UNC Policy 300.2.2.1[R]</w:t>
        </w:r>
      </w:hyperlink>
      <w:r w:rsidR="00655617" w:rsidRPr="00D87821">
        <w:t xml:space="preserve"> and </w:t>
      </w:r>
      <w:hyperlink r:id="rId17" w:history="1">
        <w:r w:rsidR="00655617" w:rsidRPr="00D87821">
          <w:rPr>
            <w:rStyle w:val="Hyperlink"/>
          </w:rPr>
          <w:t>POL 05.45.01 - Policy on Conflicts of Commitment and Interest Affecting University Employment</w:t>
        </w:r>
      </w:hyperlink>
      <w:r w:rsidR="000143F6" w:rsidRPr="00D87821">
        <w:t>.</w:t>
      </w:r>
    </w:p>
    <w:p w14:paraId="69440660" w14:textId="77777777" w:rsidR="00655617" w:rsidRPr="00D87821" w:rsidRDefault="00655617" w:rsidP="00B2691E">
      <w:pPr>
        <w:tabs>
          <w:tab w:val="left" w:pos="-1440"/>
        </w:tabs>
        <w:rPr>
          <w:b/>
        </w:rPr>
      </w:pPr>
    </w:p>
    <w:p w14:paraId="16E8FB23" w14:textId="44BEA88B" w:rsidR="00BB2C32" w:rsidRPr="00B2691E" w:rsidRDefault="00B2691E" w:rsidP="00B2691E">
      <w:pPr>
        <w:tabs>
          <w:tab w:val="left" w:pos="-1440"/>
        </w:tabs>
        <w:rPr>
          <w:b/>
        </w:rPr>
      </w:pPr>
      <w:r>
        <w:rPr>
          <w:b/>
        </w:rPr>
        <w:t xml:space="preserve">3. </w:t>
      </w:r>
      <w:r w:rsidR="00BB2C32" w:rsidRPr="00B2691E">
        <w:rPr>
          <w:b/>
        </w:rPr>
        <w:t xml:space="preserve">POLICY </w:t>
      </w:r>
    </w:p>
    <w:p w14:paraId="02F73221" w14:textId="7CB94F01" w:rsidR="00697ADE" w:rsidRPr="00D87821" w:rsidRDefault="00BB0AE8" w:rsidP="00B2691E">
      <w:pPr>
        <w:spacing w:before="100" w:beforeAutospacing="1" w:after="100" w:afterAutospacing="1"/>
      </w:pPr>
      <w:r w:rsidRPr="00D87821">
        <w:t>3</w:t>
      </w:r>
      <w:r w:rsidR="00BB2C32" w:rsidRPr="00D87821">
        <w:t xml:space="preserve">.1 </w:t>
      </w:r>
      <w:r w:rsidR="006E7530">
        <w:tab/>
      </w:r>
      <w:r w:rsidR="00697ADE" w:rsidRPr="00D87821">
        <w:t>It is the policy of The University of North Carolina at Pembroke (</w:t>
      </w:r>
      <w:r w:rsidR="00060A87" w:rsidRPr="00D87821">
        <w:t>hereafter ‘University’</w:t>
      </w:r>
      <w:r w:rsidR="00697ADE" w:rsidRPr="00D87821">
        <w:t xml:space="preserve">) that employment responsibilities of SHRA employees working for the University are primary; any other employment in which those persons may be engaged is secondary. These provisions apply only to non-state sources of income and do not apply to a second job or assignment paid from state funds; those conditions are covered by the </w:t>
      </w:r>
      <w:r w:rsidR="0027284C" w:rsidRPr="00D87821">
        <w:t xml:space="preserve">OSHR </w:t>
      </w:r>
      <w:r w:rsidR="00697ADE" w:rsidRPr="00D87821">
        <w:t>Dual Employment</w:t>
      </w:r>
      <w:r w:rsidR="00F63DE2" w:rsidRPr="00D87821">
        <w:t xml:space="preserve"> Policy</w:t>
      </w:r>
      <w:r w:rsidR="00697ADE" w:rsidRPr="00D87821">
        <w:t>.</w:t>
      </w:r>
    </w:p>
    <w:p w14:paraId="670D572C" w14:textId="1FBD897D" w:rsidR="00D64AD6" w:rsidRPr="00D87821" w:rsidRDefault="00D64AD6" w:rsidP="00B2691E">
      <w:pPr>
        <w:spacing w:before="100" w:beforeAutospacing="1" w:after="100" w:afterAutospacing="1"/>
      </w:pPr>
      <w:r w:rsidRPr="00D87821">
        <w:t xml:space="preserve">3.2 </w:t>
      </w:r>
      <w:r w:rsidR="006E7530">
        <w:tab/>
      </w:r>
      <w:r w:rsidRPr="00D87821">
        <w:t xml:space="preserve">Employees must report any changes in secondary employment status as they occur by completing a new </w:t>
      </w:r>
      <w:r w:rsidR="001638A2">
        <w:t xml:space="preserve">Request for Approval of </w:t>
      </w:r>
      <w:r w:rsidRPr="00D87821">
        <w:t xml:space="preserve">Secondary Employment </w:t>
      </w:r>
      <w:r w:rsidR="001C40F2">
        <w:t>f</w:t>
      </w:r>
      <w:r w:rsidRPr="00D87821">
        <w:t>orm and submitting it to their supervisor.</w:t>
      </w:r>
    </w:p>
    <w:p w14:paraId="05D6112C" w14:textId="3B3BF7AB" w:rsidR="00D64AD6" w:rsidRPr="00D87821" w:rsidRDefault="00B2691E" w:rsidP="00B2691E">
      <w:pPr>
        <w:spacing w:before="100" w:beforeAutospacing="1" w:after="100" w:afterAutospacing="1"/>
      </w:pPr>
      <w:r w:rsidRPr="00B2691E">
        <w:t xml:space="preserve">3.3 </w:t>
      </w:r>
      <w:r w:rsidR="006E7530">
        <w:tab/>
      </w:r>
      <w:r w:rsidR="00C93347" w:rsidRPr="00D87821">
        <w:t>E</w:t>
      </w:r>
      <w:r w:rsidR="00D64AD6" w:rsidRPr="00D87821">
        <w:t xml:space="preserve">mployees who are continuing secondary employment must submit an updated </w:t>
      </w:r>
      <w:r w:rsidR="001638A2">
        <w:t>Request</w:t>
      </w:r>
      <w:r w:rsidR="001C40F2">
        <w:t xml:space="preserve"> for Approval of </w:t>
      </w:r>
      <w:r w:rsidR="00D64AD6" w:rsidRPr="00D87821">
        <w:t xml:space="preserve">Secondary Employment </w:t>
      </w:r>
      <w:r w:rsidR="001C40F2">
        <w:t>f</w:t>
      </w:r>
      <w:r w:rsidR="00D64AD6" w:rsidRPr="00D87821">
        <w:t>orm to their supervisor</w:t>
      </w:r>
      <w:r w:rsidR="00C93347" w:rsidRPr="00D87821">
        <w:t xml:space="preserve"> annually</w:t>
      </w:r>
      <w:r w:rsidR="00D64AD6" w:rsidRPr="00D87821">
        <w:t>.</w:t>
      </w:r>
    </w:p>
    <w:p w14:paraId="0E1ECE92" w14:textId="4D7DDCD3" w:rsidR="00D64AD6" w:rsidRPr="00D87821" w:rsidRDefault="00B2691E" w:rsidP="00B2691E">
      <w:pPr>
        <w:spacing w:before="100" w:beforeAutospacing="1" w:after="100" w:afterAutospacing="1"/>
      </w:pPr>
      <w:r>
        <w:t xml:space="preserve">3.4 </w:t>
      </w:r>
      <w:r w:rsidR="006E7530">
        <w:tab/>
      </w:r>
      <w:r w:rsidR="00D64AD6" w:rsidRPr="00D87821">
        <w:t>An employee’s secondary employment is considered public information and may be disclosed to third parties upon request.</w:t>
      </w:r>
    </w:p>
    <w:p w14:paraId="604AC93E" w14:textId="3C4BC2C5" w:rsidR="00697ADE" w:rsidRPr="00D87821" w:rsidRDefault="00BB0AE8" w:rsidP="00B2691E">
      <w:pPr>
        <w:spacing w:before="100" w:beforeAutospacing="1" w:after="100" w:afterAutospacing="1"/>
        <w:ind w:left="360" w:hanging="360"/>
        <w:rPr>
          <w:b/>
        </w:rPr>
      </w:pPr>
      <w:r w:rsidRPr="00D87821">
        <w:rPr>
          <w:b/>
        </w:rPr>
        <w:t>4</w:t>
      </w:r>
      <w:r w:rsidR="00697ADE" w:rsidRPr="00D87821">
        <w:rPr>
          <w:b/>
        </w:rPr>
        <w:t>.</w:t>
      </w:r>
      <w:r w:rsidR="00697ADE" w:rsidRPr="00D87821">
        <w:rPr>
          <w:b/>
        </w:rPr>
        <w:tab/>
        <w:t>PROCEDURE</w:t>
      </w:r>
      <w:r w:rsidR="00D64AD6" w:rsidRPr="00D87821">
        <w:rPr>
          <w:b/>
        </w:rPr>
        <w:t>S</w:t>
      </w:r>
    </w:p>
    <w:p w14:paraId="301744A4" w14:textId="417BE013" w:rsidR="00BB2C32" w:rsidRPr="00D87821" w:rsidRDefault="00BB0AE8" w:rsidP="00B2691E">
      <w:pPr>
        <w:tabs>
          <w:tab w:val="left" w:pos="-1440"/>
        </w:tabs>
      </w:pPr>
      <w:r w:rsidRPr="00D87821">
        <w:t>4</w:t>
      </w:r>
      <w:r w:rsidR="00697ADE" w:rsidRPr="00D87821">
        <w:t>.1</w:t>
      </w:r>
      <w:r w:rsidR="00697ADE" w:rsidRPr="00D87821">
        <w:tab/>
      </w:r>
      <w:r w:rsidR="00BB2C32" w:rsidRPr="00D87821">
        <w:t>All SHRA employees covered under this policy must have approval from the Supervisor/Manager before engaging in any type of secondary employment. SHRA employees considering secondary employment must report their intentions to their Supervisor/Manager in time to obtain approval prior to beginning secondary employment.</w:t>
      </w:r>
    </w:p>
    <w:p w14:paraId="07B10E64" w14:textId="77777777" w:rsidR="00B62531" w:rsidRPr="00D87821" w:rsidRDefault="00B62531" w:rsidP="00B2691E">
      <w:pPr>
        <w:tabs>
          <w:tab w:val="left" w:pos="-1440"/>
        </w:tabs>
        <w:ind w:left="450" w:hanging="450"/>
      </w:pPr>
    </w:p>
    <w:p w14:paraId="2E81B865" w14:textId="26F532C3" w:rsidR="00B62531" w:rsidRPr="00D87821" w:rsidRDefault="00BB0AE8" w:rsidP="00B2691E">
      <w:pPr>
        <w:tabs>
          <w:tab w:val="left" w:pos="-1440"/>
        </w:tabs>
      </w:pPr>
      <w:r w:rsidRPr="00D87821">
        <w:t>4</w:t>
      </w:r>
      <w:r w:rsidR="00B62531" w:rsidRPr="00D87821">
        <w:t xml:space="preserve">.2 </w:t>
      </w:r>
      <w:r w:rsidR="00E87542" w:rsidRPr="00D87821">
        <w:tab/>
      </w:r>
      <w:r w:rsidR="00B62531" w:rsidRPr="00D87821">
        <w:t>Requests for approval must be</w:t>
      </w:r>
      <w:r w:rsidR="00C16078" w:rsidRPr="00D87821">
        <w:t xml:space="preserve"> prepared and submitted on the</w:t>
      </w:r>
      <w:r w:rsidR="00033A29" w:rsidRPr="00D87821">
        <w:t xml:space="preserve"> </w:t>
      </w:r>
      <w:hyperlink r:id="rId18" w:history="1">
        <w:r w:rsidR="00033A29" w:rsidRPr="00D87821">
          <w:rPr>
            <w:rStyle w:val="Hyperlink"/>
          </w:rPr>
          <w:t>Request for Approval of Secondary Employment</w:t>
        </w:r>
      </w:hyperlink>
      <w:r w:rsidR="001C40F2">
        <w:t xml:space="preserve"> form</w:t>
      </w:r>
      <w:r w:rsidR="00017F1C">
        <w:t>.</w:t>
      </w:r>
    </w:p>
    <w:p w14:paraId="418BB8A8" w14:textId="77777777" w:rsidR="00B62531" w:rsidRPr="00D87821" w:rsidRDefault="00B62531" w:rsidP="00B2691E">
      <w:pPr>
        <w:tabs>
          <w:tab w:val="left" w:pos="-1440"/>
        </w:tabs>
        <w:ind w:left="450" w:hanging="450"/>
      </w:pPr>
    </w:p>
    <w:p w14:paraId="2837E730" w14:textId="643D3B3C" w:rsidR="00B62531" w:rsidRPr="00D87821" w:rsidRDefault="00BB0AE8" w:rsidP="00B2691E">
      <w:pPr>
        <w:tabs>
          <w:tab w:val="left" w:pos="-1440"/>
        </w:tabs>
      </w:pPr>
      <w:r w:rsidRPr="00D87821">
        <w:t>4</w:t>
      </w:r>
      <w:r w:rsidR="00B62531" w:rsidRPr="00D87821">
        <w:t xml:space="preserve">.3 </w:t>
      </w:r>
      <w:r w:rsidR="00E87542" w:rsidRPr="00D87821">
        <w:tab/>
      </w:r>
      <w:r w:rsidR="00B62531" w:rsidRPr="00D87821">
        <w:t xml:space="preserve">The employee's Supervisor/Manager will submit the request to the </w:t>
      </w:r>
      <w:r w:rsidR="000143F6" w:rsidRPr="00D87821">
        <w:t>Dean/</w:t>
      </w:r>
      <w:r w:rsidR="00141B61" w:rsidRPr="00D87821">
        <w:t>Vice Chancellor/Chancellor</w:t>
      </w:r>
      <w:r w:rsidR="00B62531" w:rsidRPr="00D87821">
        <w:t xml:space="preserve"> for</w:t>
      </w:r>
      <w:r w:rsidR="00C16078" w:rsidRPr="00D87821">
        <w:t xml:space="preserve"> review and approval. Employees and </w:t>
      </w:r>
      <w:r w:rsidR="00695E90" w:rsidRPr="00D87821">
        <w:t xml:space="preserve">managers </w:t>
      </w:r>
      <w:r w:rsidR="00B62531" w:rsidRPr="00D87821">
        <w:t>may consult with the Office of Human Resources concerning secondary employment questions.</w:t>
      </w:r>
    </w:p>
    <w:p w14:paraId="03ACF455" w14:textId="36BF5002" w:rsidR="00B62531" w:rsidRDefault="00BB0AE8" w:rsidP="00B2691E">
      <w:pPr>
        <w:spacing w:before="100" w:beforeAutospacing="1" w:after="100" w:afterAutospacing="1"/>
      </w:pPr>
      <w:r w:rsidRPr="00D87821">
        <w:t>4</w:t>
      </w:r>
      <w:r w:rsidR="00B62531" w:rsidRPr="00D87821">
        <w:t xml:space="preserve">.4 </w:t>
      </w:r>
      <w:r w:rsidR="00E87542" w:rsidRPr="00D87821">
        <w:tab/>
      </w:r>
      <w:r w:rsidR="00B62531" w:rsidRPr="00D87821">
        <w:t xml:space="preserve">Upon </w:t>
      </w:r>
      <w:r w:rsidR="00372AE9">
        <w:t>completion</w:t>
      </w:r>
      <w:r w:rsidR="00B62531" w:rsidRPr="00D87821">
        <w:t>, the Supervisor/Manager will provide a copy of the form to the employee and forward the original form to the Office of Human Resources for inclusion in the employee's personnel file.</w:t>
      </w:r>
    </w:p>
    <w:p w14:paraId="646D3FEF" w14:textId="2C94FF71" w:rsidR="00FC1A16" w:rsidRDefault="00FC1A16" w:rsidP="00B2691E">
      <w:pPr>
        <w:spacing w:before="100" w:beforeAutospacing="1" w:after="100" w:afterAutospacing="1"/>
      </w:pPr>
    </w:p>
    <w:p w14:paraId="6B185260" w14:textId="77777777" w:rsidR="00FC1A16" w:rsidRPr="00D87821" w:rsidRDefault="00FC1A16" w:rsidP="00B2691E">
      <w:pPr>
        <w:spacing w:before="100" w:beforeAutospacing="1" w:after="100" w:afterAutospacing="1"/>
      </w:pPr>
    </w:p>
    <w:p w14:paraId="1D2616D4" w14:textId="3B85CAA9" w:rsidR="00B62531" w:rsidRPr="00D87821" w:rsidRDefault="00BB0AE8" w:rsidP="00B2691E">
      <w:pPr>
        <w:tabs>
          <w:tab w:val="left" w:pos="-1440"/>
        </w:tabs>
        <w:ind w:left="450" w:hanging="450"/>
        <w:rPr>
          <w:b/>
        </w:rPr>
      </w:pPr>
      <w:r w:rsidRPr="00B13A1D">
        <w:rPr>
          <w:b/>
          <w:bCs/>
        </w:rPr>
        <w:t>5</w:t>
      </w:r>
      <w:r w:rsidR="00B62531" w:rsidRPr="00D87821">
        <w:rPr>
          <w:b/>
        </w:rPr>
        <w:t>.   APPROVAL CRITERIA</w:t>
      </w:r>
    </w:p>
    <w:p w14:paraId="59469476" w14:textId="77777777" w:rsidR="00B62531" w:rsidRPr="00D87821" w:rsidRDefault="00B62531" w:rsidP="00B2691E">
      <w:pPr>
        <w:tabs>
          <w:tab w:val="left" w:pos="-1440"/>
        </w:tabs>
        <w:ind w:left="450" w:hanging="450"/>
        <w:rPr>
          <w:b/>
        </w:rPr>
      </w:pPr>
    </w:p>
    <w:p w14:paraId="03BA5DB8" w14:textId="3D4444DE" w:rsidR="00B62531" w:rsidRPr="00D87821" w:rsidRDefault="00BB0AE8" w:rsidP="00B2691E">
      <w:pPr>
        <w:tabs>
          <w:tab w:val="left" w:pos="-1440"/>
        </w:tabs>
      </w:pPr>
      <w:r w:rsidRPr="00D87821">
        <w:t>5</w:t>
      </w:r>
      <w:r w:rsidR="00B62531" w:rsidRPr="00D87821">
        <w:t>.1</w:t>
      </w:r>
      <w:r w:rsidR="006E7530">
        <w:tab/>
      </w:r>
      <w:r w:rsidR="00B62531" w:rsidRPr="00D87821">
        <w:t xml:space="preserve"> There is no conflict of interest between the secondary employer and </w:t>
      </w:r>
      <w:r w:rsidR="00060A87" w:rsidRPr="00D87821">
        <w:t xml:space="preserve">University </w:t>
      </w:r>
      <w:r w:rsidR="00B62531" w:rsidRPr="00D87821">
        <w:t>as the primary employer. (In the context of secondary employment, a conflict of interest would occur where the secondary employment could reasonably be expected to influence the employee's judgment, discretion, or independence of action at the University or result in unfair advantage to a private sector firm doing business with the University). Questions concerning conflict of interest should be referred to the Office of Human Resources.</w:t>
      </w:r>
    </w:p>
    <w:p w14:paraId="1FAA1012" w14:textId="2A733100" w:rsidR="00B62531" w:rsidRPr="00D87821" w:rsidRDefault="00BB0AE8" w:rsidP="00B2691E">
      <w:pPr>
        <w:spacing w:before="100" w:beforeAutospacing="1" w:after="100" w:afterAutospacing="1"/>
      </w:pPr>
      <w:r w:rsidRPr="00D87821">
        <w:t>5</w:t>
      </w:r>
      <w:r w:rsidR="00B62531" w:rsidRPr="00D87821">
        <w:t xml:space="preserve">.2 </w:t>
      </w:r>
      <w:r w:rsidR="006E7530">
        <w:tab/>
      </w:r>
      <w:r w:rsidR="00B62531" w:rsidRPr="00D87821">
        <w:t xml:space="preserve">The </w:t>
      </w:r>
      <w:r w:rsidR="000143F6" w:rsidRPr="00D87821">
        <w:t xml:space="preserve">regularly scheduled </w:t>
      </w:r>
      <w:r w:rsidR="00B62531" w:rsidRPr="00D87821">
        <w:t xml:space="preserve">working hours established at </w:t>
      </w:r>
      <w:r w:rsidR="00A44A07" w:rsidRPr="00D87821">
        <w:t xml:space="preserve">the </w:t>
      </w:r>
      <w:r w:rsidR="00060A87" w:rsidRPr="00D87821">
        <w:t>University</w:t>
      </w:r>
      <w:r w:rsidR="005703AB" w:rsidRPr="00D87821">
        <w:t xml:space="preserve"> </w:t>
      </w:r>
      <w:r w:rsidR="00B62531" w:rsidRPr="00D87821">
        <w:t>and with the secondary employer do not overlap or prevent the employee from fulfilling assigned duties and responsibilities effectively.</w:t>
      </w:r>
    </w:p>
    <w:p w14:paraId="5A374D2B" w14:textId="2A1A2814" w:rsidR="00DF2D2B" w:rsidRPr="00D87821" w:rsidRDefault="001B3084" w:rsidP="00B2691E">
      <w:pPr>
        <w:spacing w:before="100" w:beforeAutospacing="1" w:after="100" w:afterAutospacing="1"/>
        <w:ind w:left="450" w:hanging="450"/>
        <w:rPr>
          <w:b/>
        </w:rPr>
      </w:pPr>
      <w:r w:rsidRPr="00D87821">
        <w:rPr>
          <w:b/>
        </w:rPr>
        <w:t>6</w:t>
      </w:r>
      <w:r w:rsidR="00B62531" w:rsidRPr="00D87821">
        <w:rPr>
          <w:b/>
        </w:rPr>
        <w:t>.</w:t>
      </w:r>
      <w:r w:rsidR="00B62531" w:rsidRPr="00D87821">
        <w:tab/>
      </w:r>
      <w:r w:rsidR="00DF2D2B" w:rsidRPr="00D87821">
        <w:rPr>
          <w:b/>
        </w:rPr>
        <w:t>RESPONSIBILITIES</w:t>
      </w:r>
    </w:p>
    <w:p w14:paraId="1698412B" w14:textId="29328E74" w:rsidR="000164CD" w:rsidRPr="00D87821" w:rsidRDefault="001B3084" w:rsidP="00B13A1D">
      <w:pPr>
        <w:tabs>
          <w:tab w:val="left" w:pos="-1440"/>
        </w:tabs>
      </w:pPr>
      <w:r w:rsidRPr="00D87821">
        <w:rPr>
          <w:bCs/>
        </w:rPr>
        <w:t>6</w:t>
      </w:r>
      <w:r w:rsidR="000164CD" w:rsidRPr="00D87821">
        <w:rPr>
          <w:bCs/>
        </w:rPr>
        <w:t>.1</w:t>
      </w:r>
      <w:r w:rsidR="00B13A1D">
        <w:rPr>
          <w:b/>
          <w:bCs/>
        </w:rPr>
        <w:t xml:space="preserve"> </w:t>
      </w:r>
      <w:r w:rsidR="006E7530">
        <w:rPr>
          <w:b/>
          <w:bCs/>
        </w:rPr>
        <w:tab/>
      </w:r>
      <w:r w:rsidR="000164CD" w:rsidRPr="00B13A1D">
        <w:t>Employees</w:t>
      </w:r>
      <w:r w:rsidR="000164CD" w:rsidRPr="00D87821">
        <w:t xml:space="preserve"> are responsible for seeking approval from their Supervisor/Manager and </w:t>
      </w:r>
      <w:r w:rsidR="005F3DB5" w:rsidRPr="00D87821">
        <w:t>Dean/</w:t>
      </w:r>
      <w:r w:rsidR="0085733D" w:rsidRPr="00D87821">
        <w:t>Vice Chancellor/Chancellor</w:t>
      </w:r>
      <w:r w:rsidR="000164CD" w:rsidRPr="00D87821">
        <w:t xml:space="preserve"> before engaging in any secondary employment by completing a </w:t>
      </w:r>
      <w:r w:rsidR="00D56C3C" w:rsidRPr="00D432B6">
        <w:t>Request for Approval of Secondary Employment</w:t>
      </w:r>
      <w:r w:rsidR="00950DA0" w:rsidRPr="00D87821">
        <w:t xml:space="preserve"> </w:t>
      </w:r>
      <w:r w:rsidR="001C40F2">
        <w:t xml:space="preserve">form </w:t>
      </w:r>
      <w:r w:rsidR="000164CD" w:rsidRPr="00D87821">
        <w:t xml:space="preserve">for all employment that is not covered by </w:t>
      </w:r>
      <w:r w:rsidR="006A27C4" w:rsidRPr="00D87821">
        <w:t xml:space="preserve">the OSHR </w:t>
      </w:r>
      <w:r w:rsidR="000164CD" w:rsidRPr="00D87821">
        <w:t>Dual Employment</w:t>
      </w:r>
      <w:r w:rsidR="00950DA0" w:rsidRPr="00D87821">
        <w:t xml:space="preserve"> Policy</w:t>
      </w:r>
      <w:r w:rsidR="000164CD" w:rsidRPr="00D87821">
        <w:t>, and updating the form annually, as well as to document changes as they occur.</w:t>
      </w:r>
    </w:p>
    <w:p w14:paraId="6A08BA3A" w14:textId="4331145C" w:rsidR="000164CD" w:rsidRPr="00D87821" w:rsidRDefault="001B3084" w:rsidP="00B2691E">
      <w:pPr>
        <w:spacing w:before="100" w:beforeAutospacing="1" w:after="100" w:afterAutospacing="1"/>
      </w:pPr>
      <w:r w:rsidRPr="00D87821">
        <w:t>6</w:t>
      </w:r>
      <w:r w:rsidR="000164CD" w:rsidRPr="00D87821">
        <w:t>.2</w:t>
      </w:r>
      <w:r w:rsidR="00B13A1D">
        <w:t xml:space="preserve"> </w:t>
      </w:r>
      <w:r w:rsidR="006E7530">
        <w:tab/>
      </w:r>
      <w:r w:rsidR="000164CD" w:rsidRPr="00B13A1D">
        <w:t>Supervisors/Managers</w:t>
      </w:r>
      <w:r w:rsidR="000164CD" w:rsidRPr="00D87821">
        <w:t xml:space="preserve"> are to review and/or approve as appropriate the employee’s Request for Approval of Secondary Employment and forward the request for approval </w:t>
      </w:r>
      <w:r w:rsidR="00AD17CE" w:rsidRPr="00D87821">
        <w:t xml:space="preserve">to </w:t>
      </w:r>
      <w:r w:rsidR="000164CD" w:rsidRPr="00D87821">
        <w:t xml:space="preserve">their respective </w:t>
      </w:r>
      <w:r w:rsidR="005F3DB5" w:rsidRPr="00D87821">
        <w:t>Dean/</w:t>
      </w:r>
      <w:r w:rsidR="000164CD" w:rsidRPr="00D87821">
        <w:t xml:space="preserve">Vice Chancellor/Chancellor for approval. </w:t>
      </w:r>
      <w:r w:rsidR="00E83CB7" w:rsidRPr="00D87821">
        <w:t>If denied, t</w:t>
      </w:r>
      <w:r w:rsidR="000164CD" w:rsidRPr="00D87821">
        <w:t xml:space="preserve">he Supervisor/Manager will provide in writing the reason for denial of the request within </w:t>
      </w:r>
      <w:r w:rsidR="005F3DB5" w:rsidRPr="00D87821">
        <w:t>ten (</w:t>
      </w:r>
      <w:r w:rsidR="000164CD" w:rsidRPr="00D87821">
        <w:t>10</w:t>
      </w:r>
      <w:r w:rsidR="005F3DB5" w:rsidRPr="00D87821">
        <w:t>)</w:t>
      </w:r>
      <w:r w:rsidR="000164CD" w:rsidRPr="00D87821">
        <w:t xml:space="preserve"> </w:t>
      </w:r>
      <w:r w:rsidR="005F3DB5" w:rsidRPr="00D87821">
        <w:t>business days</w:t>
      </w:r>
      <w:r w:rsidR="000164CD" w:rsidRPr="00D87821">
        <w:t>.</w:t>
      </w:r>
    </w:p>
    <w:p w14:paraId="6BDD3855" w14:textId="4CE6DCD8" w:rsidR="00DF2D2B" w:rsidRPr="00D87821" w:rsidRDefault="001B3084" w:rsidP="00B2691E">
      <w:pPr>
        <w:spacing w:before="100" w:beforeAutospacing="1" w:after="100" w:afterAutospacing="1"/>
      </w:pPr>
      <w:r w:rsidRPr="00D87821">
        <w:t>6</w:t>
      </w:r>
      <w:r w:rsidR="00DF2D2B" w:rsidRPr="00D87821">
        <w:t>.</w:t>
      </w:r>
      <w:r w:rsidR="000164CD" w:rsidRPr="00D87821">
        <w:t>3</w:t>
      </w:r>
      <w:r w:rsidR="00DF2D2B" w:rsidRPr="00D87821">
        <w:t xml:space="preserve"> </w:t>
      </w:r>
      <w:r w:rsidR="006E7530">
        <w:tab/>
      </w:r>
      <w:r w:rsidR="00DF2D2B" w:rsidRPr="00D87821">
        <w:t xml:space="preserve">The </w:t>
      </w:r>
      <w:r w:rsidR="005F3DB5" w:rsidRPr="00D87821">
        <w:t>Dean/</w:t>
      </w:r>
      <w:r w:rsidR="00C4328D" w:rsidRPr="00D87821">
        <w:t xml:space="preserve">Vice </w:t>
      </w:r>
      <w:r w:rsidR="00C16078" w:rsidRPr="00B13A1D">
        <w:t>Chancellor/</w:t>
      </w:r>
      <w:r w:rsidR="00DF2D2B" w:rsidRPr="00B13A1D">
        <w:t>Chancellor</w:t>
      </w:r>
      <w:r w:rsidR="00DF2D2B" w:rsidRPr="00D87821">
        <w:t xml:space="preserve"> </w:t>
      </w:r>
      <w:r w:rsidR="00FC350B" w:rsidRPr="00D87821">
        <w:t xml:space="preserve">is </w:t>
      </w:r>
      <w:r w:rsidR="00DF2D2B" w:rsidRPr="00D87821">
        <w:t xml:space="preserve">responsible for </w:t>
      </w:r>
      <w:r w:rsidR="000164CD" w:rsidRPr="00D87821">
        <w:t xml:space="preserve">reviewing the </w:t>
      </w:r>
      <w:r w:rsidR="005F3DB5" w:rsidRPr="00D87821">
        <w:t>Supervisor/</w:t>
      </w:r>
      <w:r w:rsidR="000164CD" w:rsidRPr="00D87821">
        <w:t xml:space="preserve">Manager’s recommendation and </w:t>
      </w:r>
      <w:r w:rsidR="00DF2D2B" w:rsidRPr="00D87821">
        <w:t xml:space="preserve">ensuring </w:t>
      </w:r>
      <w:r w:rsidR="00D741A8" w:rsidRPr="00D87821">
        <w:t xml:space="preserve">that </w:t>
      </w:r>
      <w:r w:rsidR="00DF2D2B" w:rsidRPr="00D87821">
        <w:t>the Secondary Employment policy is conducted in a fair and consistent manner.</w:t>
      </w:r>
    </w:p>
    <w:p w14:paraId="20C6F8FC" w14:textId="009894A4" w:rsidR="00DF2D2B" w:rsidRPr="00D87821" w:rsidRDefault="001B3084" w:rsidP="00B2691E">
      <w:pPr>
        <w:spacing w:before="100" w:beforeAutospacing="1" w:after="100" w:afterAutospacing="1"/>
      </w:pPr>
      <w:r w:rsidRPr="00D87821">
        <w:t>6</w:t>
      </w:r>
      <w:r w:rsidR="00DF2D2B" w:rsidRPr="00D87821">
        <w:t>.</w:t>
      </w:r>
      <w:r w:rsidR="000164CD" w:rsidRPr="00D87821">
        <w:t>4</w:t>
      </w:r>
      <w:r w:rsidR="006E7530">
        <w:tab/>
      </w:r>
      <w:r w:rsidR="00DF2D2B" w:rsidRPr="00D87821">
        <w:t xml:space="preserve">The </w:t>
      </w:r>
      <w:r w:rsidR="00DF2D2B" w:rsidRPr="00B13A1D">
        <w:t>Assistant Vice Chancellor for Human Resources/EEO/AA Officer</w:t>
      </w:r>
      <w:r w:rsidR="00DF2D2B" w:rsidRPr="00D87821">
        <w:t xml:space="preserve"> is responsible for ensuring that the </w:t>
      </w:r>
      <w:r w:rsidR="00923BCE" w:rsidRPr="00D87821">
        <w:t xml:space="preserve">Secondary Employment </w:t>
      </w:r>
      <w:r w:rsidR="00DF2D2B" w:rsidRPr="00D87821">
        <w:t>policy is administered on a non-discriminatory basis and all necessary components are in place for an effective program.</w:t>
      </w:r>
    </w:p>
    <w:p w14:paraId="0174F4FB" w14:textId="038AEF6C" w:rsidR="00012EBC" w:rsidRPr="00D87821" w:rsidRDefault="00B13A1D" w:rsidP="00B13A1D">
      <w:pPr>
        <w:widowControl/>
        <w:autoSpaceDE/>
        <w:autoSpaceDN/>
        <w:adjustRightInd/>
        <w:spacing w:before="100" w:beforeAutospacing="1" w:after="100" w:afterAutospacing="1"/>
        <w:ind w:left="720" w:hanging="720"/>
        <w:rPr>
          <w:b/>
        </w:rPr>
      </w:pPr>
      <w:r>
        <w:rPr>
          <w:b/>
        </w:rPr>
        <w:t xml:space="preserve">7. </w:t>
      </w:r>
      <w:r w:rsidR="00B62531" w:rsidRPr="00D87821">
        <w:rPr>
          <w:b/>
        </w:rPr>
        <w:t>REVIEW</w:t>
      </w:r>
    </w:p>
    <w:p w14:paraId="7263B82A" w14:textId="788B08A7" w:rsidR="00D64AD6" w:rsidRPr="00B13A1D" w:rsidRDefault="006E7530" w:rsidP="00B13A1D">
      <w:pPr>
        <w:widowControl/>
        <w:autoSpaceDE/>
        <w:autoSpaceDN/>
        <w:adjustRightInd/>
        <w:spacing w:before="100" w:beforeAutospacing="1" w:after="100" w:afterAutospacing="1"/>
      </w:pPr>
      <w:r>
        <w:t>7</w:t>
      </w:r>
      <w:r w:rsidR="00B62531" w:rsidRPr="00D87821">
        <w:t>.1</w:t>
      </w:r>
      <w:r w:rsidR="00B13A1D">
        <w:t xml:space="preserve"> </w:t>
      </w:r>
      <w:r>
        <w:tab/>
      </w:r>
      <w:r w:rsidR="00D64AD6" w:rsidRPr="00B13A1D">
        <w:t>A supervisor, after consultation with the Human Resources Consultant in the Office of</w:t>
      </w:r>
      <w:r w:rsidR="00B13A1D">
        <w:t xml:space="preserve"> </w:t>
      </w:r>
      <w:r w:rsidR="00D64AD6" w:rsidRPr="00B13A1D">
        <w:t>Human Resources, may deny an employee’s secondary employment immediately if:</w:t>
      </w:r>
    </w:p>
    <w:p w14:paraId="769D2747" w14:textId="131EC8DB" w:rsidR="00D64AD6" w:rsidRPr="00B13A1D" w:rsidRDefault="006E7530" w:rsidP="00B13A1D">
      <w:pPr>
        <w:widowControl/>
        <w:autoSpaceDE/>
        <w:autoSpaceDN/>
        <w:adjustRightInd/>
        <w:spacing w:before="100" w:beforeAutospacing="1" w:after="100" w:afterAutospacing="1"/>
      </w:pPr>
      <w:r>
        <w:t xml:space="preserve">7.1.2 </w:t>
      </w:r>
      <w:r>
        <w:tab/>
      </w:r>
      <w:r w:rsidR="00D64AD6" w:rsidRPr="00B13A1D">
        <w:t>The supervisor becomes aware of secondary employment that the employee has not reported and there is evidence that the failure to report has been willful; or</w:t>
      </w:r>
    </w:p>
    <w:p w14:paraId="05F8D119" w14:textId="1F0C3188" w:rsidR="00D64AD6" w:rsidRPr="00B13A1D" w:rsidRDefault="006E7530" w:rsidP="00B13A1D">
      <w:pPr>
        <w:widowControl/>
        <w:autoSpaceDE/>
        <w:autoSpaceDN/>
        <w:adjustRightInd/>
        <w:spacing w:before="100" w:beforeAutospacing="1" w:after="100" w:afterAutospacing="1"/>
      </w:pPr>
      <w:r>
        <w:t xml:space="preserve">7.1.3 </w:t>
      </w:r>
      <w:r>
        <w:tab/>
      </w:r>
      <w:r w:rsidR="00D64AD6" w:rsidRPr="00B13A1D">
        <w:t>The supervisor becomes aware that an employee’s secondary employment presents a conflict of interest with his/her primary employment or a possible conflict with State operations.</w:t>
      </w:r>
    </w:p>
    <w:p w14:paraId="1CDDC406" w14:textId="65AE6070" w:rsidR="00D64AD6" w:rsidRPr="00B13A1D" w:rsidRDefault="006E7530" w:rsidP="00B13A1D">
      <w:pPr>
        <w:widowControl/>
        <w:autoSpaceDE/>
        <w:autoSpaceDN/>
        <w:adjustRightInd/>
        <w:spacing w:before="100" w:beforeAutospacing="1" w:after="100" w:afterAutospacing="1"/>
      </w:pPr>
      <w:r>
        <w:lastRenderedPageBreak/>
        <w:t xml:space="preserve">7.1.4 </w:t>
      </w:r>
      <w:r>
        <w:tab/>
      </w:r>
      <w:r w:rsidR="00D64AD6" w:rsidRPr="00B13A1D">
        <w:t xml:space="preserve">If the supervisor </w:t>
      </w:r>
      <w:r w:rsidR="00012EBC" w:rsidRPr="00D87821">
        <w:t xml:space="preserve">observes a decline in </w:t>
      </w:r>
      <w:r w:rsidR="00554396" w:rsidRPr="00D87821">
        <w:t>work</w:t>
      </w:r>
      <w:r w:rsidR="00012EBC" w:rsidRPr="00D87821">
        <w:t xml:space="preserve"> performance and </w:t>
      </w:r>
      <w:r w:rsidR="00284B2E">
        <w:t xml:space="preserve">has </w:t>
      </w:r>
      <w:r w:rsidR="00613C87">
        <w:t xml:space="preserve">a reason that </w:t>
      </w:r>
      <w:r w:rsidR="00D64AD6" w:rsidRPr="00B13A1D">
        <w:t xml:space="preserve">the secondary employment has caused the employee’s overall work performance to </w:t>
      </w:r>
      <w:r w:rsidR="00613C87">
        <w:t>decline</w:t>
      </w:r>
      <w:r w:rsidR="00D64AD6" w:rsidRPr="00B13A1D">
        <w:t xml:space="preserve"> below a “</w:t>
      </w:r>
      <w:r w:rsidR="00613C87">
        <w:t>meets expectations</w:t>
      </w:r>
      <w:r w:rsidR="00D64AD6" w:rsidRPr="00B13A1D">
        <w:t>” performance level, the supervisor must first approach the matter with the employee as a performance issue and provide the employee adequate time to demonstrate improved performance.</w:t>
      </w:r>
    </w:p>
    <w:p w14:paraId="273F906C" w14:textId="4F707EFD" w:rsidR="001F1115" w:rsidRPr="00D87821" w:rsidRDefault="006E7530" w:rsidP="00B13A1D">
      <w:pPr>
        <w:widowControl/>
        <w:autoSpaceDE/>
        <w:autoSpaceDN/>
        <w:adjustRightInd/>
        <w:spacing w:before="100" w:beforeAutospacing="1" w:after="100" w:afterAutospacing="1"/>
      </w:pPr>
      <w:r>
        <w:t>7.1.5</w:t>
      </w:r>
      <w:r>
        <w:tab/>
      </w:r>
      <w:r w:rsidR="00D64AD6" w:rsidRPr="00B13A1D">
        <w:t xml:space="preserve">If the employee’s performance does not improve within a </w:t>
      </w:r>
      <w:r w:rsidR="00D64AD6" w:rsidRPr="00284B2E">
        <w:t xml:space="preserve">reasonable period of time, and if the supervisor continues to </w:t>
      </w:r>
      <w:r w:rsidR="005B02FB">
        <w:t>observe</w:t>
      </w:r>
      <w:r w:rsidR="005925A5" w:rsidRPr="00284B2E">
        <w:t xml:space="preserve"> a decline in work performance</w:t>
      </w:r>
      <w:r w:rsidR="00372AE9">
        <w:t>,</w:t>
      </w:r>
      <w:r w:rsidR="005925A5" w:rsidRPr="00284B2E">
        <w:t xml:space="preserve"> </w:t>
      </w:r>
      <w:r w:rsidR="00D64AD6" w:rsidRPr="00284B2E">
        <w:t>that the</w:t>
      </w:r>
      <w:r w:rsidR="00D64AD6" w:rsidRPr="00B13A1D">
        <w:t xml:space="preserve"> secon</w:t>
      </w:r>
      <w:r w:rsidR="00372AE9">
        <w:t xml:space="preserve">dary employment is the </w:t>
      </w:r>
      <w:r w:rsidR="005B02FB">
        <w:t xml:space="preserve">root </w:t>
      </w:r>
      <w:r w:rsidR="00372AE9">
        <w:t>cause</w:t>
      </w:r>
      <w:r w:rsidR="00D64AD6" w:rsidRPr="00B13A1D">
        <w:t xml:space="preserve">, the supervisor, after discussion with the Human Resources Consultant, </w:t>
      </w:r>
      <w:r w:rsidR="00D64AD6" w:rsidRPr="00613C87">
        <w:t xml:space="preserve">may </w:t>
      </w:r>
      <w:r w:rsidR="00135923" w:rsidRPr="00613C87">
        <w:t xml:space="preserve">rescind the approval of the </w:t>
      </w:r>
      <w:r w:rsidR="00D64AD6" w:rsidRPr="00613C87">
        <w:t>employee’s secondary employment.  The supervisor should allow the employee a reasonable amount</w:t>
      </w:r>
      <w:r w:rsidR="00D64AD6" w:rsidRPr="00B13A1D">
        <w:t xml:space="preserve"> of time to give notice of </w:t>
      </w:r>
      <w:r w:rsidR="005B02FB">
        <w:t>separation</w:t>
      </w:r>
      <w:r w:rsidR="00D64AD6" w:rsidRPr="00B13A1D">
        <w:t xml:space="preserve"> to the secondary employer.</w:t>
      </w:r>
    </w:p>
    <w:p w14:paraId="24E54D9A" w14:textId="6AB62C2F" w:rsidR="001F1115" w:rsidRPr="00D87821" w:rsidRDefault="006E7530" w:rsidP="00B13A1D">
      <w:pPr>
        <w:widowControl/>
        <w:autoSpaceDE/>
        <w:autoSpaceDN/>
        <w:adjustRightInd/>
        <w:spacing w:before="100" w:beforeAutospacing="1" w:after="100" w:afterAutospacing="1"/>
      </w:pPr>
      <w:r>
        <w:t xml:space="preserve">7.1.6 </w:t>
      </w:r>
      <w:r>
        <w:tab/>
      </w:r>
      <w:r w:rsidR="001F1115" w:rsidRPr="00D87821">
        <w:t>An employee’s refusal to end his/her secondary employment as directed by this policy is considered a matter of unacceptable personal conduct and may be subject to disciplinary action, up to and including dismissal. Supervisors should contact the Human Resources Consultant in such cases.</w:t>
      </w:r>
      <w:r w:rsidR="00027839" w:rsidRPr="00D87821">
        <w:t xml:space="preserve"> </w:t>
      </w:r>
    </w:p>
    <w:p w14:paraId="0A0E90FA" w14:textId="69C9F0B9" w:rsidR="00B62531" w:rsidRPr="00D87821" w:rsidRDefault="006E7530" w:rsidP="00B13A1D">
      <w:pPr>
        <w:spacing w:before="100" w:beforeAutospacing="1" w:after="100" w:afterAutospacing="1"/>
      </w:pPr>
      <w:r>
        <w:t>7</w:t>
      </w:r>
      <w:r w:rsidR="00D64AD6" w:rsidRPr="00D87821">
        <w:t>.2</w:t>
      </w:r>
      <w:r>
        <w:t xml:space="preserve"> </w:t>
      </w:r>
      <w:r>
        <w:tab/>
      </w:r>
      <w:r w:rsidR="00CC7BE5" w:rsidRPr="00D87821">
        <w:t>Secondary Employment will be denied if the following would occur:</w:t>
      </w:r>
    </w:p>
    <w:p w14:paraId="01B11120" w14:textId="0324C765" w:rsidR="00D64AD6" w:rsidRPr="00B13A1D" w:rsidRDefault="006E7530" w:rsidP="00B13A1D">
      <w:pPr>
        <w:widowControl/>
        <w:autoSpaceDE/>
        <w:autoSpaceDN/>
        <w:adjustRightInd/>
        <w:spacing w:before="100" w:beforeAutospacing="1" w:after="100" w:afterAutospacing="1"/>
      </w:pPr>
      <w:r>
        <w:t xml:space="preserve">7.2.1 </w:t>
      </w:r>
      <w:r>
        <w:tab/>
      </w:r>
      <w:r w:rsidR="00CC7BE5" w:rsidRPr="00B13A1D">
        <w:t>Create either directly or indirectly a conflict of interest with the employee’s primary employment; or</w:t>
      </w:r>
    </w:p>
    <w:p w14:paraId="514E2182" w14:textId="35022D88" w:rsidR="00D64AD6" w:rsidRPr="00B13A1D" w:rsidRDefault="006E7530" w:rsidP="00B13A1D">
      <w:r>
        <w:t xml:space="preserve">7.2.2 </w:t>
      </w:r>
      <w:r>
        <w:tab/>
      </w:r>
      <w:r w:rsidR="00CC7BE5" w:rsidRPr="00B13A1D">
        <w:t xml:space="preserve">Have an impact </w:t>
      </w:r>
      <w:r w:rsidR="00D64AD6" w:rsidRPr="00D87821">
        <w:t>o</w:t>
      </w:r>
      <w:r w:rsidR="00CC7BE5" w:rsidRPr="00B13A1D">
        <w:t>n, or create any possibility of conflict with, State operations; or</w:t>
      </w:r>
    </w:p>
    <w:p w14:paraId="4A715F2F" w14:textId="77777777" w:rsidR="006E7530" w:rsidRDefault="006E7530" w:rsidP="006E7530"/>
    <w:p w14:paraId="4C19C45E" w14:textId="2F998AF5" w:rsidR="00D64AD6" w:rsidRPr="00D87821" w:rsidRDefault="006E7530" w:rsidP="006E7530">
      <w:r>
        <w:t xml:space="preserve">7.2.3 </w:t>
      </w:r>
      <w:r>
        <w:tab/>
      </w:r>
      <w:r w:rsidR="00D64AD6" w:rsidRPr="00B13A1D">
        <w:t xml:space="preserve">Impair in any </w:t>
      </w:r>
      <w:r w:rsidR="00CC7BE5" w:rsidRPr="00B13A1D">
        <w:t>way the employee’s ability to perform all expected duties, or to make decisions and carry out in an objective fashion the responsibilities of the employee’s position.</w:t>
      </w:r>
      <w:r w:rsidR="00D64AD6" w:rsidRPr="00D87821">
        <w:t xml:space="preserve">  </w:t>
      </w:r>
    </w:p>
    <w:p w14:paraId="44D2E1EE" w14:textId="77777777" w:rsidR="005512A5" w:rsidRPr="00D87821" w:rsidRDefault="005512A5" w:rsidP="00B13A1D"/>
    <w:sectPr w:rsidR="005512A5" w:rsidRPr="00D87821" w:rsidSect="0094471C">
      <w:headerReference w:type="default" r:id="rId19"/>
      <w:footerReference w:type="default" r:id="rId20"/>
      <w:endnotePr>
        <w:numFmt w:val="decimal"/>
      </w:endnotePr>
      <w:pgSz w:w="12240" w:h="15840"/>
      <w:pgMar w:top="432" w:right="1440" w:bottom="43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C735" w14:textId="77777777" w:rsidR="005B7085" w:rsidRDefault="005B7085">
      <w:r>
        <w:separator/>
      </w:r>
    </w:p>
  </w:endnote>
  <w:endnote w:type="continuationSeparator" w:id="0">
    <w:p w14:paraId="59D63CE1" w14:textId="77777777" w:rsidR="005B7085" w:rsidRDefault="005B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E272" w14:textId="77777777" w:rsidR="003C4122" w:rsidRDefault="003C4122">
    <w:pPr>
      <w:spacing w:line="240" w:lineRule="exact"/>
    </w:pPr>
  </w:p>
  <w:p w14:paraId="326EE909" w14:textId="03092C5A" w:rsidR="003C4122" w:rsidRDefault="003C4122">
    <w:pPr>
      <w:framePr w:w="9361" w:wrap="notBeside" w:vAnchor="text" w:hAnchor="text" w:x="1" w:y="1"/>
      <w:jc w:val="center"/>
    </w:pPr>
    <w:r>
      <w:t xml:space="preserve">Page </w:t>
    </w:r>
    <w:r>
      <w:fldChar w:fldCharType="begin"/>
    </w:r>
    <w:r>
      <w:instrText xml:space="preserve">PAGE </w:instrText>
    </w:r>
    <w:r>
      <w:fldChar w:fldCharType="separate"/>
    </w:r>
    <w:r w:rsidR="00DF08F5">
      <w:rPr>
        <w:noProof/>
      </w:rPr>
      <w:t>2</w:t>
    </w:r>
    <w:r>
      <w:rPr>
        <w:noProof/>
      </w:rPr>
      <w:fldChar w:fldCharType="end"/>
    </w:r>
    <w:r>
      <w:t xml:space="preserve"> of </w:t>
    </w:r>
    <w:r>
      <w:fldChar w:fldCharType="begin"/>
    </w:r>
    <w:r>
      <w:instrText xml:space="preserve">NUMPAGES </w:instrText>
    </w:r>
    <w:r>
      <w:fldChar w:fldCharType="separate"/>
    </w:r>
    <w:r w:rsidR="00DF08F5">
      <w:rPr>
        <w:noProof/>
      </w:rPr>
      <w:t>4</w:t>
    </w:r>
    <w:r>
      <w:rPr>
        <w:noProof/>
      </w:rPr>
      <w:fldChar w:fldCharType="end"/>
    </w:r>
  </w:p>
  <w:p w14:paraId="63EECBE5" w14:textId="77777777" w:rsidR="003C4122" w:rsidRDefault="003C4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0865" w14:textId="77777777" w:rsidR="005B7085" w:rsidRDefault="005B7085">
      <w:r>
        <w:separator/>
      </w:r>
    </w:p>
  </w:footnote>
  <w:footnote w:type="continuationSeparator" w:id="0">
    <w:p w14:paraId="5191C2DE" w14:textId="77777777" w:rsidR="005B7085" w:rsidRDefault="005B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13FE" w14:textId="23D3F11A" w:rsidR="00A35981" w:rsidRDefault="00A35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F71"/>
    <w:multiLevelType w:val="multilevel"/>
    <w:tmpl w:val="1164961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1940EF"/>
    <w:multiLevelType w:val="hybridMultilevel"/>
    <w:tmpl w:val="0E10FE44"/>
    <w:lvl w:ilvl="0" w:tplc="67CED4CC">
      <w:start w:val="2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C152B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927F9"/>
    <w:multiLevelType w:val="hybridMultilevel"/>
    <w:tmpl w:val="7EC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728E9"/>
    <w:multiLevelType w:val="multilevel"/>
    <w:tmpl w:val="370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CA57636"/>
    <w:multiLevelType w:val="hybridMultilevel"/>
    <w:tmpl w:val="81E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E510E"/>
    <w:multiLevelType w:val="multilevel"/>
    <w:tmpl w:val="965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02E1D"/>
    <w:multiLevelType w:val="hybridMultilevel"/>
    <w:tmpl w:val="B300ACA4"/>
    <w:lvl w:ilvl="0" w:tplc="A83A2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18C4"/>
    <w:multiLevelType w:val="multilevel"/>
    <w:tmpl w:val="B9A8F1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885E84"/>
    <w:multiLevelType w:val="hybridMultilevel"/>
    <w:tmpl w:val="83B88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E2C38"/>
    <w:multiLevelType w:val="multilevel"/>
    <w:tmpl w:val="965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C100A"/>
    <w:multiLevelType w:val="multilevel"/>
    <w:tmpl w:val="0AE8E3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F7E203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C552A3"/>
    <w:multiLevelType w:val="hybridMultilevel"/>
    <w:tmpl w:val="C5F04180"/>
    <w:lvl w:ilvl="0" w:tplc="15C4534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1"/>
  </w:num>
  <w:num w:numId="5">
    <w:abstractNumId w:val="5"/>
  </w:num>
  <w:num w:numId="6">
    <w:abstractNumId w:val="16"/>
  </w:num>
  <w:num w:numId="7">
    <w:abstractNumId w:val="2"/>
  </w:num>
  <w:num w:numId="8">
    <w:abstractNumId w:val="1"/>
  </w:num>
  <w:num w:numId="9">
    <w:abstractNumId w:val="15"/>
  </w:num>
  <w:num w:numId="10">
    <w:abstractNumId w:val="0"/>
  </w:num>
  <w:num w:numId="11">
    <w:abstractNumId w:val="14"/>
  </w:num>
  <w:num w:numId="12">
    <w:abstractNumId w:val="9"/>
  </w:num>
  <w:num w:numId="13">
    <w:abstractNumId w:val="13"/>
  </w:num>
  <w:num w:numId="14">
    <w:abstractNumId w:val="4"/>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12EBC"/>
    <w:rsid w:val="000143F6"/>
    <w:rsid w:val="000164CD"/>
    <w:rsid w:val="00017F1C"/>
    <w:rsid w:val="00027839"/>
    <w:rsid w:val="00033A29"/>
    <w:rsid w:val="00046B5D"/>
    <w:rsid w:val="00055C06"/>
    <w:rsid w:val="00060A87"/>
    <w:rsid w:val="00065ECA"/>
    <w:rsid w:val="00095085"/>
    <w:rsid w:val="000A7B3A"/>
    <w:rsid w:val="000C0139"/>
    <w:rsid w:val="000C0A90"/>
    <w:rsid w:val="000D5C7B"/>
    <w:rsid w:val="000E11E8"/>
    <w:rsid w:val="00126F19"/>
    <w:rsid w:val="001300DE"/>
    <w:rsid w:val="00130C88"/>
    <w:rsid w:val="00135923"/>
    <w:rsid w:val="001371E6"/>
    <w:rsid w:val="00141B61"/>
    <w:rsid w:val="001549DC"/>
    <w:rsid w:val="00161EF8"/>
    <w:rsid w:val="001638A2"/>
    <w:rsid w:val="001B3084"/>
    <w:rsid w:val="001B7B12"/>
    <w:rsid w:val="001C09BB"/>
    <w:rsid w:val="001C40F2"/>
    <w:rsid w:val="001C5A09"/>
    <w:rsid w:val="001F1115"/>
    <w:rsid w:val="002153DD"/>
    <w:rsid w:val="0021579A"/>
    <w:rsid w:val="002369F8"/>
    <w:rsid w:val="0027284C"/>
    <w:rsid w:val="00284B2E"/>
    <w:rsid w:val="002C2835"/>
    <w:rsid w:val="002C4C92"/>
    <w:rsid w:val="002E4056"/>
    <w:rsid w:val="002E5642"/>
    <w:rsid w:val="002F0047"/>
    <w:rsid w:val="002F1353"/>
    <w:rsid w:val="00305048"/>
    <w:rsid w:val="00321E1F"/>
    <w:rsid w:val="0034713A"/>
    <w:rsid w:val="00350482"/>
    <w:rsid w:val="0037162D"/>
    <w:rsid w:val="00372AE9"/>
    <w:rsid w:val="0039315D"/>
    <w:rsid w:val="003A5BA9"/>
    <w:rsid w:val="003B3BCA"/>
    <w:rsid w:val="003C4122"/>
    <w:rsid w:val="00401C87"/>
    <w:rsid w:val="00422331"/>
    <w:rsid w:val="00463FD8"/>
    <w:rsid w:val="00466D41"/>
    <w:rsid w:val="004847D4"/>
    <w:rsid w:val="004B2AF7"/>
    <w:rsid w:val="004D4072"/>
    <w:rsid w:val="004F355C"/>
    <w:rsid w:val="005216F3"/>
    <w:rsid w:val="005512A5"/>
    <w:rsid w:val="00554396"/>
    <w:rsid w:val="005703AB"/>
    <w:rsid w:val="0057640B"/>
    <w:rsid w:val="005925A5"/>
    <w:rsid w:val="00594945"/>
    <w:rsid w:val="005B02FB"/>
    <w:rsid w:val="005B7085"/>
    <w:rsid w:val="005E727D"/>
    <w:rsid w:val="005F3DB5"/>
    <w:rsid w:val="00613C87"/>
    <w:rsid w:val="006155E7"/>
    <w:rsid w:val="0064458C"/>
    <w:rsid w:val="00655617"/>
    <w:rsid w:val="00656D5B"/>
    <w:rsid w:val="00676D8C"/>
    <w:rsid w:val="006839EE"/>
    <w:rsid w:val="0068700A"/>
    <w:rsid w:val="00695E90"/>
    <w:rsid w:val="00696D04"/>
    <w:rsid w:val="00697ADE"/>
    <w:rsid w:val="006A1672"/>
    <w:rsid w:val="006A27C4"/>
    <w:rsid w:val="006D178C"/>
    <w:rsid w:val="006E7530"/>
    <w:rsid w:val="00733F94"/>
    <w:rsid w:val="00751D47"/>
    <w:rsid w:val="007729CC"/>
    <w:rsid w:val="00773709"/>
    <w:rsid w:val="00774BD3"/>
    <w:rsid w:val="00781126"/>
    <w:rsid w:val="00783454"/>
    <w:rsid w:val="007A4710"/>
    <w:rsid w:val="00807149"/>
    <w:rsid w:val="00834776"/>
    <w:rsid w:val="00835CFB"/>
    <w:rsid w:val="00855242"/>
    <w:rsid w:val="0085733D"/>
    <w:rsid w:val="008717B4"/>
    <w:rsid w:val="008720ED"/>
    <w:rsid w:val="008913F7"/>
    <w:rsid w:val="00923BCE"/>
    <w:rsid w:val="0092487D"/>
    <w:rsid w:val="00924C31"/>
    <w:rsid w:val="00937BB8"/>
    <w:rsid w:val="0094471C"/>
    <w:rsid w:val="00944F6E"/>
    <w:rsid w:val="00950DA0"/>
    <w:rsid w:val="009665C6"/>
    <w:rsid w:val="009959A3"/>
    <w:rsid w:val="00997845"/>
    <w:rsid w:val="009A037A"/>
    <w:rsid w:val="009A7E1F"/>
    <w:rsid w:val="009B123C"/>
    <w:rsid w:val="009B565B"/>
    <w:rsid w:val="009D2B2C"/>
    <w:rsid w:val="009E7035"/>
    <w:rsid w:val="009F4630"/>
    <w:rsid w:val="00A063AC"/>
    <w:rsid w:val="00A25525"/>
    <w:rsid w:val="00A32779"/>
    <w:rsid w:val="00A35981"/>
    <w:rsid w:val="00A368DE"/>
    <w:rsid w:val="00A43A0B"/>
    <w:rsid w:val="00A44A07"/>
    <w:rsid w:val="00A50BE2"/>
    <w:rsid w:val="00A808D1"/>
    <w:rsid w:val="00A8555C"/>
    <w:rsid w:val="00AD17CE"/>
    <w:rsid w:val="00AE581A"/>
    <w:rsid w:val="00AE7ED0"/>
    <w:rsid w:val="00B13A1D"/>
    <w:rsid w:val="00B2691E"/>
    <w:rsid w:val="00B302C6"/>
    <w:rsid w:val="00B44979"/>
    <w:rsid w:val="00B62531"/>
    <w:rsid w:val="00B7459F"/>
    <w:rsid w:val="00B825C7"/>
    <w:rsid w:val="00B90B0C"/>
    <w:rsid w:val="00B92281"/>
    <w:rsid w:val="00BB0AE8"/>
    <w:rsid w:val="00BB2C32"/>
    <w:rsid w:val="00BC0732"/>
    <w:rsid w:val="00BD671F"/>
    <w:rsid w:val="00C05962"/>
    <w:rsid w:val="00C11567"/>
    <w:rsid w:val="00C16078"/>
    <w:rsid w:val="00C31B28"/>
    <w:rsid w:val="00C429B0"/>
    <w:rsid w:val="00C4328D"/>
    <w:rsid w:val="00C4655B"/>
    <w:rsid w:val="00C52F70"/>
    <w:rsid w:val="00C93347"/>
    <w:rsid w:val="00C94D5F"/>
    <w:rsid w:val="00CB78E1"/>
    <w:rsid w:val="00CC7BE5"/>
    <w:rsid w:val="00CD316F"/>
    <w:rsid w:val="00CF7CC5"/>
    <w:rsid w:val="00D0651F"/>
    <w:rsid w:val="00D125FD"/>
    <w:rsid w:val="00D432B6"/>
    <w:rsid w:val="00D56C3C"/>
    <w:rsid w:val="00D64AD6"/>
    <w:rsid w:val="00D741A8"/>
    <w:rsid w:val="00D87821"/>
    <w:rsid w:val="00D93D08"/>
    <w:rsid w:val="00DA03CC"/>
    <w:rsid w:val="00DA4B7B"/>
    <w:rsid w:val="00DB3E1A"/>
    <w:rsid w:val="00DF08F5"/>
    <w:rsid w:val="00DF2D2B"/>
    <w:rsid w:val="00E116ED"/>
    <w:rsid w:val="00E40D6F"/>
    <w:rsid w:val="00E4159D"/>
    <w:rsid w:val="00E83CB7"/>
    <w:rsid w:val="00E87542"/>
    <w:rsid w:val="00E9517D"/>
    <w:rsid w:val="00ED3B27"/>
    <w:rsid w:val="00ED5418"/>
    <w:rsid w:val="00F22106"/>
    <w:rsid w:val="00F24107"/>
    <w:rsid w:val="00F31C20"/>
    <w:rsid w:val="00F50D0D"/>
    <w:rsid w:val="00F55C13"/>
    <w:rsid w:val="00F63DE2"/>
    <w:rsid w:val="00F82BD0"/>
    <w:rsid w:val="00FA1E1E"/>
    <w:rsid w:val="00FC1A16"/>
    <w:rsid w:val="00FC1D08"/>
    <w:rsid w:val="00FC350B"/>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9FD2E"/>
  <w15:docId w15:val="{C283DCCB-5ED9-4F9F-A7FC-9E26FE5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A"/>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basedOn w:val="DefaultParagraphFont"/>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basedOn w:val="DefaultParagraphFont"/>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basedOn w:val="DefaultParagraphFont"/>
    <w:link w:val="BalloonText"/>
    <w:uiPriority w:val="99"/>
    <w:semiHidden/>
    <w:rsid w:val="00463FD8"/>
    <w:rPr>
      <w:rFonts w:ascii="Tahoma" w:hAnsi="Tahoma" w:cs="Tahoma"/>
      <w:sz w:val="16"/>
      <w:szCs w:val="16"/>
    </w:rPr>
  </w:style>
  <w:style w:type="paragraph" w:styleId="ListParagraph">
    <w:name w:val="List Paragraph"/>
    <w:basedOn w:val="Normal"/>
    <w:uiPriority w:val="34"/>
    <w:qFormat/>
    <w:rsid w:val="00835CFB"/>
    <w:pPr>
      <w:ind w:left="720"/>
      <w:contextualSpacing/>
    </w:pPr>
  </w:style>
  <w:style w:type="character" w:styleId="Hyperlink">
    <w:name w:val="Hyperlink"/>
    <w:basedOn w:val="DefaultParagraphFont"/>
    <w:uiPriority w:val="99"/>
    <w:unhideWhenUsed/>
    <w:rsid w:val="00F24107"/>
    <w:rPr>
      <w:color w:val="0000FF" w:themeColor="hyperlink"/>
      <w:u w:val="single"/>
    </w:rPr>
  </w:style>
  <w:style w:type="character" w:styleId="FollowedHyperlink">
    <w:name w:val="FollowedHyperlink"/>
    <w:basedOn w:val="DefaultParagraphFont"/>
    <w:uiPriority w:val="99"/>
    <w:semiHidden/>
    <w:unhideWhenUsed/>
    <w:rsid w:val="00AD17CE"/>
    <w:rPr>
      <w:color w:val="800080" w:themeColor="followedHyperlink"/>
      <w:u w:val="single"/>
    </w:rPr>
  </w:style>
  <w:style w:type="character" w:styleId="CommentReference">
    <w:name w:val="annotation reference"/>
    <w:basedOn w:val="DefaultParagraphFont"/>
    <w:uiPriority w:val="99"/>
    <w:semiHidden/>
    <w:unhideWhenUsed/>
    <w:rsid w:val="002369F8"/>
    <w:rPr>
      <w:sz w:val="16"/>
      <w:szCs w:val="16"/>
    </w:rPr>
  </w:style>
  <w:style w:type="paragraph" w:styleId="CommentText">
    <w:name w:val="annotation text"/>
    <w:basedOn w:val="Normal"/>
    <w:link w:val="CommentTextChar"/>
    <w:uiPriority w:val="99"/>
    <w:semiHidden/>
    <w:unhideWhenUsed/>
    <w:rsid w:val="002369F8"/>
    <w:rPr>
      <w:sz w:val="20"/>
      <w:szCs w:val="20"/>
    </w:rPr>
  </w:style>
  <w:style w:type="character" w:customStyle="1" w:styleId="CommentTextChar">
    <w:name w:val="Comment Text Char"/>
    <w:basedOn w:val="DefaultParagraphFont"/>
    <w:link w:val="CommentText"/>
    <w:uiPriority w:val="99"/>
    <w:semiHidden/>
    <w:rsid w:val="002369F8"/>
  </w:style>
  <w:style w:type="paragraph" w:styleId="CommentSubject">
    <w:name w:val="annotation subject"/>
    <w:basedOn w:val="CommentText"/>
    <w:next w:val="CommentText"/>
    <w:link w:val="CommentSubjectChar"/>
    <w:uiPriority w:val="99"/>
    <w:semiHidden/>
    <w:unhideWhenUsed/>
    <w:rsid w:val="002369F8"/>
    <w:rPr>
      <w:b/>
      <w:bCs/>
    </w:rPr>
  </w:style>
  <w:style w:type="character" w:customStyle="1" w:styleId="CommentSubjectChar">
    <w:name w:val="Comment Subject Char"/>
    <w:basedOn w:val="CommentTextChar"/>
    <w:link w:val="CommentSubject"/>
    <w:uiPriority w:val="99"/>
    <w:semiHidden/>
    <w:rsid w:val="002369F8"/>
    <w:rPr>
      <w:b/>
      <w:bCs/>
    </w:rPr>
  </w:style>
  <w:style w:type="paragraph" w:customStyle="1" w:styleId="Default">
    <w:name w:val="Default"/>
    <w:rsid w:val="00655617"/>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655617"/>
    <w:rPr>
      <w:color w:val="605E5C"/>
      <w:shd w:val="clear" w:color="auto" w:fill="E1DFDD"/>
    </w:rPr>
  </w:style>
  <w:style w:type="paragraph" w:styleId="Revision">
    <w:name w:val="Revision"/>
    <w:hidden/>
    <w:uiPriority w:val="99"/>
    <w:semiHidden/>
    <w:rsid w:val="009B123C"/>
    <w:rPr>
      <w:sz w:val="24"/>
      <w:szCs w:val="24"/>
    </w:rPr>
  </w:style>
  <w:style w:type="character" w:customStyle="1" w:styleId="UnresolvedMention2">
    <w:name w:val="Unresolved Mention2"/>
    <w:basedOn w:val="DefaultParagraphFont"/>
    <w:uiPriority w:val="99"/>
    <w:semiHidden/>
    <w:unhideWhenUsed/>
    <w:rsid w:val="00CF7CC5"/>
    <w:rPr>
      <w:color w:val="605E5C"/>
      <w:shd w:val="clear" w:color="auto" w:fill="E1DFDD"/>
    </w:rPr>
  </w:style>
  <w:style w:type="paragraph" w:styleId="NoSpacing">
    <w:name w:val="No Spacing"/>
    <w:uiPriority w:val="1"/>
    <w:qFormat/>
    <w:rsid w:val="00DF08F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443">
      <w:bodyDiv w:val="1"/>
      <w:marLeft w:val="0"/>
      <w:marRight w:val="0"/>
      <w:marTop w:val="0"/>
      <w:marBottom w:val="0"/>
      <w:divBdr>
        <w:top w:val="none" w:sz="0" w:space="0" w:color="auto"/>
        <w:left w:val="none" w:sz="0" w:space="0" w:color="auto"/>
        <w:bottom w:val="none" w:sz="0" w:space="0" w:color="auto"/>
        <w:right w:val="none" w:sz="0" w:space="0" w:color="auto"/>
      </w:divBdr>
    </w:div>
    <w:div w:id="582224126">
      <w:bodyDiv w:val="1"/>
      <w:marLeft w:val="0"/>
      <w:marRight w:val="0"/>
      <w:marTop w:val="0"/>
      <w:marBottom w:val="0"/>
      <w:divBdr>
        <w:top w:val="none" w:sz="0" w:space="0" w:color="auto"/>
        <w:left w:val="none" w:sz="0" w:space="0" w:color="auto"/>
        <w:bottom w:val="none" w:sz="0" w:space="0" w:color="auto"/>
        <w:right w:val="none" w:sz="0" w:space="0" w:color="auto"/>
      </w:divBdr>
    </w:div>
    <w:div w:id="593439353">
      <w:bodyDiv w:val="1"/>
      <w:marLeft w:val="0"/>
      <w:marRight w:val="0"/>
      <w:marTop w:val="0"/>
      <w:marBottom w:val="0"/>
      <w:divBdr>
        <w:top w:val="none" w:sz="0" w:space="0" w:color="auto"/>
        <w:left w:val="none" w:sz="0" w:space="0" w:color="auto"/>
        <w:bottom w:val="none" w:sz="0" w:space="0" w:color="auto"/>
        <w:right w:val="none" w:sz="0" w:space="0" w:color="auto"/>
      </w:divBdr>
    </w:div>
    <w:div w:id="688023457">
      <w:bodyDiv w:val="1"/>
      <w:marLeft w:val="0"/>
      <w:marRight w:val="0"/>
      <w:marTop w:val="0"/>
      <w:marBottom w:val="0"/>
      <w:divBdr>
        <w:top w:val="none" w:sz="0" w:space="0" w:color="auto"/>
        <w:left w:val="none" w:sz="0" w:space="0" w:color="auto"/>
        <w:bottom w:val="none" w:sz="0" w:space="0" w:color="auto"/>
        <w:right w:val="none" w:sz="0" w:space="0" w:color="auto"/>
      </w:divBdr>
    </w:div>
    <w:div w:id="746923391">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20151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54501-policy-conflicts-commitment-and-interest-affecting-university-employment" TargetMode="External"/><Relationship Id="rId13" Type="http://schemas.openxmlformats.org/officeDocument/2006/relationships/hyperlink" Target="https://www.northcarolina.edu/apps/policy/doc.php?id=114" TargetMode="External"/><Relationship Id="rId18" Type="http://schemas.openxmlformats.org/officeDocument/2006/relationships/hyperlink" Target="https://www.uncp.edu/facultystaff/human-resources/for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leg.net/enactedlegislation/statutes/html/bysection/chapter_126/gs_126-4.html" TargetMode="External"/><Relationship Id="rId17" Type="http://schemas.openxmlformats.org/officeDocument/2006/relationships/hyperlink" Target="https://www.uncp.edu/pr/pol-054501-policy-conflicts-commitment-and-interest-affecting-university-employment" TargetMode="External"/><Relationship Id="rId2" Type="http://schemas.openxmlformats.org/officeDocument/2006/relationships/numbering" Target="numbering.xml"/><Relationship Id="rId16" Type="http://schemas.openxmlformats.org/officeDocument/2006/relationships/hyperlink" Target="https://www.northcarolina.edu/apps/policy/doc.php?id=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r.nc.gov/policies/employment-records/dual-employment" TargetMode="External"/><Relationship Id="rId5" Type="http://schemas.openxmlformats.org/officeDocument/2006/relationships/webSettings" Target="webSettings.xml"/><Relationship Id="rId15" Type="http://schemas.openxmlformats.org/officeDocument/2006/relationships/hyperlink" Target="https://oshr.nc.gov/media/1494/open" TargetMode="External"/><Relationship Id="rId10" Type="http://schemas.openxmlformats.org/officeDocument/2006/relationships/hyperlink" Target="https://oshr.nc.gov/policies/secondary-employ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hr.nc.gov/policies/discipline-appeals-grievances/disciplinary-action-policy" TargetMode="External"/><Relationship Id="rId14" Type="http://schemas.openxmlformats.org/officeDocument/2006/relationships/hyperlink" Target="https://www.uncp.edu/facultystaff/human-resources/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A172-1DFD-44F8-8985-2820FC76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7913</Characters>
  <Application>Microsoft Office Word</Application>
  <DocSecurity>0</DocSecurity>
  <Lines>155</Lines>
  <Paragraphs>46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M. Gordon  Byrd</cp:lastModifiedBy>
  <cp:revision>3</cp:revision>
  <cp:lastPrinted>2022-04-21T21:35:00Z</cp:lastPrinted>
  <dcterms:created xsi:type="dcterms:W3CDTF">2022-04-28T13:48:00Z</dcterms:created>
  <dcterms:modified xsi:type="dcterms:W3CDTF">2022-04-28T13:48:00Z</dcterms:modified>
</cp:coreProperties>
</file>