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8D4F" w14:textId="542D2B10" w:rsidR="0034713A" w:rsidRPr="00E21744" w:rsidRDefault="00B3363D" w:rsidP="0D6CC148">
      <w:pPr>
        <w:jc w:val="center"/>
      </w:pPr>
      <w:r w:rsidRPr="00E21744">
        <w:t>POL</w:t>
      </w:r>
      <w:r w:rsidR="00AB174C">
        <w:t xml:space="preserve"> 04.25.11</w:t>
      </w:r>
    </w:p>
    <w:p w14:paraId="4B343B5F" w14:textId="1AEBF43A" w:rsidR="0034713A" w:rsidRDefault="00E2562A">
      <w:pPr>
        <w:jc w:val="center"/>
      </w:pPr>
      <w:r>
        <w:t>Timely Warning Policy</w:t>
      </w:r>
    </w:p>
    <w:p w14:paraId="2DD68BCC" w14:textId="77777777" w:rsidR="006C58F0" w:rsidRPr="009B6FF4" w:rsidRDefault="006C58F0" w:rsidP="006C58F0">
      <w:pPr>
        <w:rPr>
          <w:bCs/>
        </w:rPr>
      </w:pPr>
    </w:p>
    <w:p w14:paraId="4A075C76" w14:textId="77777777" w:rsidR="00A1168D" w:rsidRDefault="00A1168D" w:rsidP="006C58F0">
      <w:pPr>
        <w:tabs>
          <w:tab w:val="left" w:pos="-1440"/>
        </w:tabs>
        <w:ind w:left="720" w:hanging="720"/>
        <w:rPr>
          <w:b/>
          <w:bCs/>
        </w:rPr>
      </w:pPr>
    </w:p>
    <w:p w14:paraId="65BA6C8F" w14:textId="216E96C8" w:rsidR="003924D9" w:rsidRPr="003924D9" w:rsidRDefault="003924D9" w:rsidP="0D6CC148">
      <w:pPr>
        <w:ind w:left="720" w:hanging="720"/>
        <w:rPr>
          <w:b/>
          <w:bCs/>
        </w:rPr>
      </w:pPr>
      <w:r w:rsidRPr="0D6CC148">
        <w:rPr>
          <w:b/>
          <w:bCs/>
        </w:rPr>
        <w:t xml:space="preserve">Authority:  </w:t>
      </w:r>
      <w:r w:rsidRPr="00E21744">
        <w:t>Chancellor</w:t>
      </w:r>
    </w:p>
    <w:p w14:paraId="7A1045D6" w14:textId="4A250199" w:rsidR="0D6CC148" w:rsidRDefault="0D6CC148" w:rsidP="0D6CC148">
      <w:pPr>
        <w:ind w:left="720" w:hanging="720"/>
        <w:rPr>
          <w:b/>
          <w:bCs/>
        </w:rPr>
      </w:pPr>
    </w:p>
    <w:p w14:paraId="3BE38EF4" w14:textId="33BBD718" w:rsidR="003924D9" w:rsidRPr="003924D9" w:rsidRDefault="003924D9" w:rsidP="003924D9">
      <w:pPr>
        <w:tabs>
          <w:tab w:val="left" w:pos="-1440"/>
        </w:tabs>
        <w:ind w:left="720" w:hanging="720"/>
        <w:rPr>
          <w:b/>
          <w:bCs/>
        </w:rPr>
      </w:pPr>
      <w:r w:rsidRPr="003924D9">
        <w:rPr>
          <w:b/>
          <w:bCs/>
        </w:rPr>
        <w:t xml:space="preserve">History: </w:t>
      </w:r>
      <w:r w:rsidRPr="00E21744">
        <w:t xml:space="preserve">First Issued: </w:t>
      </w:r>
      <w:r w:rsidR="00B91052">
        <w:t>December 8</w:t>
      </w:r>
      <w:r w:rsidRPr="00E21744">
        <w:t>, 20</w:t>
      </w:r>
      <w:r w:rsidR="00B91052">
        <w:t>20</w:t>
      </w:r>
      <w:r w:rsidRPr="003924D9">
        <w:rPr>
          <w:b/>
          <w:bCs/>
        </w:rPr>
        <w:t xml:space="preserve"> </w:t>
      </w:r>
    </w:p>
    <w:p w14:paraId="23EFFACA" w14:textId="77777777" w:rsidR="003924D9" w:rsidRPr="003924D9" w:rsidRDefault="003924D9" w:rsidP="003924D9">
      <w:pPr>
        <w:tabs>
          <w:tab w:val="left" w:pos="-1440"/>
        </w:tabs>
        <w:ind w:left="720" w:hanging="720"/>
        <w:rPr>
          <w:b/>
          <w:bCs/>
        </w:rPr>
      </w:pPr>
    </w:p>
    <w:p w14:paraId="5F04DB73" w14:textId="77777777" w:rsidR="00847413" w:rsidRDefault="003924D9" w:rsidP="003924D9">
      <w:pPr>
        <w:tabs>
          <w:tab w:val="left" w:pos="-1440"/>
        </w:tabs>
        <w:ind w:left="720" w:hanging="720"/>
        <w:rPr>
          <w:b/>
          <w:bCs/>
        </w:rPr>
      </w:pPr>
      <w:r w:rsidRPr="003924D9">
        <w:rPr>
          <w:b/>
          <w:bCs/>
        </w:rPr>
        <w:t xml:space="preserve">Related Policies: </w:t>
      </w:r>
    </w:p>
    <w:p w14:paraId="6BD413D6" w14:textId="6FD70011" w:rsidR="00847413" w:rsidRPr="00B91052" w:rsidRDefault="00B91052" w:rsidP="00847413">
      <w:pPr>
        <w:pStyle w:val="ListParagraph"/>
        <w:numPr>
          <w:ilvl w:val="0"/>
          <w:numId w:val="9"/>
        </w:numPr>
        <w:tabs>
          <w:tab w:val="left" w:pos="-1440"/>
        </w:tabs>
        <w:rPr>
          <w:rStyle w:val="Hyperlink"/>
        </w:rPr>
      </w:pPr>
      <w:r>
        <w:rPr>
          <w:color w:val="0563C1"/>
        </w:rPr>
        <w:fldChar w:fldCharType="begin"/>
      </w:r>
      <w:r>
        <w:rPr>
          <w:color w:val="0563C1"/>
        </w:rPr>
        <w:instrText xml:space="preserve"> HYPERLINK "https://www.uncp.edu/pr/pol-042510-emergency-notifications-policy" </w:instrText>
      </w:r>
      <w:r>
        <w:rPr>
          <w:color w:val="0563C1"/>
        </w:rPr>
      </w:r>
      <w:r>
        <w:rPr>
          <w:color w:val="0563C1"/>
        </w:rPr>
        <w:fldChar w:fldCharType="separate"/>
      </w:r>
      <w:r w:rsidRPr="00B91052">
        <w:rPr>
          <w:rStyle w:val="Hyperlink"/>
        </w:rPr>
        <w:t>POL</w:t>
      </w:r>
      <w:r w:rsidR="003924D9" w:rsidRPr="00B91052">
        <w:rPr>
          <w:rStyle w:val="Hyperlink"/>
        </w:rPr>
        <w:t xml:space="preserve"> 04.25.</w:t>
      </w:r>
      <w:r w:rsidRPr="00B91052">
        <w:rPr>
          <w:rStyle w:val="Hyperlink"/>
        </w:rPr>
        <w:t>10</w:t>
      </w:r>
      <w:r w:rsidR="003924D9" w:rsidRPr="00B91052">
        <w:rPr>
          <w:rStyle w:val="Hyperlink"/>
        </w:rPr>
        <w:t xml:space="preserve"> - Emergency Notifications </w:t>
      </w:r>
      <w:r w:rsidRPr="00B91052">
        <w:rPr>
          <w:rStyle w:val="Hyperlink"/>
        </w:rPr>
        <w:t>Policy</w:t>
      </w:r>
    </w:p>
    <w:p w14:paraId="437D4CC2" w14:textId="73C1947D" w:rsidR="003924D9" w:rsidRPr="00E21744" w:rsidRDefault="00B91052" w:rsidP="00847413">
      <w:pPr>
        <w:pStyle w:val="ListParagraph"/>
        <w:numPr>
          <w:ilvl w:val="0"/>
          <w:numId w:val="9"/>
        </w:numPr>
        <w:tabs>
          <w:tab w:val="left" w:pos="-1440"/>
        </w:tabs>
      </w:pPr>
      <w:r>
        <w:rPr>
          <w:color w:val="0563C1"/>
        </w:rPr>
        <w:fldChar w:fldCharType="end"/>
      </w:r>
      <w:hyperlink r:id="rId11" w:history="1">
        <w:r w:rsidR="003924D9" w:rsidRPr="00E21744">
          <w:rPr>
            <w:color w:val="0563C1"/>
          </w:rPr>
          <w:t>POL 04.25.03 - Emergency Operations Plan</w:t>
        </w:r>
      </w:hyperlink>
    </w:p>
    <w:p w14:paraId="38F68698" w14:textId="77777777" w:rsidR="003924D9" w:rsidRPr="003924D9" w:rsidRDefault="003924D9" w:rsidP="003924D9">
      <w:pPr>
        <w:tabs>
          <w:tab w:val="left" w:pos="-1440"/>
        </w:tabs>
        <w:ind w:left="720" w:hanging="720"/>
        <w:rPr>
          <w:b/>
          <w:bCs/>
        </w:rPr>
      </w:pPr>
    </w:p>
    <w:p w14:paraId="28FA4EA4" w14:textId="77777777" w:rsidR="00166BD3" w:rsidRDefault="003924D9" w:rsidP="003924D9">
      <w:pPr>
        <w:tabs>
          <w:tab w:val="left" w:pos="-1440"/>
        </w:tabs>
        <w:ind w:left="720" w:hanging="720"/>
        <w:rPr>
          <w:b/>
          <w:bCs/>
        </w:rPr>
      </w:pPr>
      <w:r w:rsidRPr="003924D9">
        <w:rPr>
          <w:b/>
          <w:bCs/>
        </w:rPr>
        <w:t xml:space="preserve">Additional References: </w:t>
      </w:r>
    </w:p>
    <w:p w14:paraId="67E6D40D" w14:textId="77777777" w:rsidR="00166BD3" w:rsidRPr="00E21744" w:rsidRDefault="00B91052" w:rsidP="00166BD3">
      <w:pPr>
        <w:pStyle w:val="ListParagraph"/>
        <w:numPr>
          <w:ilvl w:val="0"/>
          <w:numId w:val="8"/>
        </w:numPr>
        <w:tabs>
          <w:tab w:val="left" w:pos="-1440"/>
        </w:tabs>
      </w:pPr>
      <w:hyperlink r:id="rId12" w:history="1">
        <w:r w:rsidR="003924D9" w:rsidRPr="00E21744">
          <w:rPr>
            <w:color w:val="0563C1"/>
          </w:rPr>
          <w:t>Higher Education Opportunity Act - The Handbook for Campus Safety and Security Reporting 2016 Edition</w:t>
        </w:r>
      </w:hyperlink>
      <w:r w:rsidR="003924D9" w:rsidRPr="00E21744">
        <w:t>;</w:t>
      </w:r>
    </w:p>
    <w:p w14:paraId="7324DDFC" w14:textId="36C969A6" w:rsidR="003924D9" w:rsidRPr="00E21744" w:rsidRDefault="00B91052" w:rsidP="00166BD3">
      <w:pPr>
        <w:pStyle w:val="ListParagraph"/>
        <w:numPr>
          <w:ilvl w:val="0"/>
          <w:numId w:val="8"/>
        </w:numPr>
        <w:tabs>
          <w:tab w:val="left" w:pos="-1440"/>
        </w:tabs>
      </w:pPr>
      <w:hyperlink r:id="rId13" w:history="1">
        <w:r w:rsidR="003924D9" w:rsidRPr="00E21744">
          <w:rPr>
            <w:color w:val="0563C1"/>
          </w:rPr>
          <w:t>Ongoing Disclosures (Timely Warning, Emergency Notification, Evacuation) Policies Checklist</w:t>
        </w:r>
      </w:hyperlink>
      <w:r w:rsidR="003924D9" w:rsidRPr="00E21744">
        <w:t>;</w:t>
      </w:r>
    </w:p>
    <w:p w14:paraId="6864F884" w14:textId="35F3F467" w:rsidR="003924D9" w:rsidRPr="00A266EC" w:rsidRDefault="00B91052" w:rsidP="00166BD3">
      <w:pPr>
        <w:pStyle w:val="ListParagraph"/>
        <w:numPr>
          <w:ilvl w:val="0"/>
          <w:numId w:val="7"/>
        </w:numPr>
        <w:tabs>
          <w:tab w:val="left" w:pos="-1440"/>
        </w:tabs>
      </w:pPr>
      <w:hyperlink r:id="rId14" w:history="1">
        <w:r w:rsidR="003924D9" w:rsidRPr="00E21744">
          <w:rPr>
            <w:color w:val="0563C1"/>
          </w:rPr>
          <w:t xml:space="preserve">UNCP </w:t>
        </w:r>
        <w:proofErr w:type="spellStart"/>
        <w:r w:rsidR="003924D9" w:rsidRPr="00E21744">
          <w:rPr>
            <w:color w:val="0563C1"/>
          </w:rPr>
          <w:t>BraveWeb</w:t>
        </w:r>
        <w:proofErr w:type="spellEnd"/>
      </w:hyperlink>
    </w:p>
    <w:p w14:paraId="6AF3F08D" w14:textId="19267A98" w:rsidR="00A266EC" w:rsidRPr="00E21744" w:rsidRDefault="00B91052" w:rsidP="00166BD3">
      <w:pPr>
        <w:pStyle w:val="ListParagraph"/>
        <w:numPr>
          <w:ilvl w:val="0"/>
          <w:numId w:val="7"/>
        </w:numPr>
        <w:tabs>
          <w:tab w:val="left" w:pos="-1440"/>
        </w:tabs>
      </w:pPr>
      <w:hyperlink r:id="rId15" w:history="1">
        <w:proofErr w:type="spellStart"/>
        <w:r w:rsidR="00A266EC" w:rsidRPr="00A266EC">
          <w:rPr>
            <w:rStyle w:val="Hyperlink"/>
          </w:rPr>
          <w:t>Clery</w:t>
        </w:r>
        <w:proofErr w:type="spellEnd"/>
        <w:r w:rsidR="00A266EC" w:rsidRPr="00A266EC">
          <w:rPr>
            <w:rStyle w:val="Hyperlink"/>
          </w:rPr>
          <w:t xml:space="preserve"> Geography</w:t>
        </w:r>
      </w:hyperlink>
    </w:p>
    <w:p w14:paraId="049ED66B" w14:textId="77777777" w:rsidR="003924D9" w:rsidRPr="003924D9" w:rsidRDefault="003924D9" w:rsidP="003924D9">
      <w:pPr>
        <w:tabs>
          <w:tab w:val="left" w:pos="-1440"/>
        </w:tabs>
        <w:ind w:left="720" w:hanging="720"/>
        <w:rPr>
          <w:b/>
          <w:bCs/>
        </w:rPr>
      </w:pPr>
    </w:p>
    <w:p w14:paraId="5C948104" w14:textId="57CB6ADB" w:rsidR="003924D9" w:rsidRPr="003924D9" w:rsidRDefault="003924D9" w:rsidP="003924D9">
      <w:pPr>
        <w:tabs>
          <w:tab w:val="left" w:pos="-1440"/>
        </w:tabs>
        <w:ind w:left="720" w:hanging="720"/>
        <w:rPr>
          <w:b/>
          <w:bCs/>
        </w:rPr>
      </w:pPr>
      <w:r w:rsidRPr="003924D9">
        <w:rPr>
          <w:b/>
          <w:bCs/>
        </w:rPr>
        <w:t xml:space="preserve">Contact Info:  </w:t>
      </w:r>
      <w:r w:rsidRPr="003924D9">
        <w:t>Police &amp; Public Safety Department 910.521.6235</w:t>
      </w:r>
    </w:p>
    <w:p w14:paraId="762006A2" w14:textId="77777777" w:rsidR="00A1168D" w:rsidRDefault="00A1168D" w:rsidP="006C58F0">
      <w:pPr>
        <w:tabs>
          <w:tab w:val="left" w:pos="-1440"/>
        </w:tabs>
        <w:ind w:left="720" w:hanging="720"/>
        <w:rPr>
          <w:b/>
          <w:bCs/>
        </w:rPr>
      </w:pPr>
    </w:p>
    <w:p w14:paraId="1ABDD43F" w14:textId="3048DBAB" w:rsidR="006C58F0" w:rsidRDefault="006C58F0" w:rsidP="006C58F0">
      <w:pPr>
        <w:tabs>
          <w:tab w:val="left" w:pos="-1440"/>
        </w:tabs>
        <w:ind w:left="720" w:hanging="720"/>
        <w:rPr>
          <w:b/>
          <w:bCs/>
        </w:rPr>
      </w:pPr>
      <w:r>
        <w:rPr>
          <w:b/>
          <w:bCs/>
        </w:rPr>
        <w:t>1. PURPOSE</w:t>
      </w:r>
    </w:p>
    <w:p w14:paraId="7F844522" w14:textId="77777777" w:rsidR="006C58F0" w:rsidRDefault="006C58F0" w:rsidP="006C58F0">
      <w:pPr>
        <w:tabs>
          <w:tab w:val="left" w:pos="-1440"/>
        </w:tabs>
        <w:ind w:left="720" w:hanging="720"/>
      </w:pPr>
    </w:p>
    <w:p w14:paraId="105D17CD" w14:textId="77777777" w:rsidR="006C58F0" w:rsidRPr="00DC26DD" w:rsidRDefault="006C58F0" w:rsidP="006C58F0">
      <w:pPr>
        <w:pStyle w:val="ListParagraph"/>
        <w:tabs>
          <w:tab w:val="left" w:pos="-1440"/>
        </w:tabs>
        <w:ind w:left="0"/>
      </w:pPr>
      <w:r>
        <w:t>1.1 The purpose of this order is to establish a policy and procedures for the issuance of timely warnings.</w:t>
      </w:r>
    </w:p>
    <w:p w14:paraId="5E66BD0E" w14:textId="77777777" w:rsidR="006C58F0" w:rsidRDefault="006C58F0" w:rsidP="006C58F0"/>
    <w:p w14:paraId="266FBB06" w14:textId="77777777" w:rsidR="006C58F0" w:rsidRDefault="006C58F0" w:rsidP="006C58F0">
      <w:r>
        <w:t xml:space="preserve">1.2 As required by the Jeanne </w:t>
      </w:r>
      <w:proofErr w:type="spellStart"/>
      <w:r>
        <w:t>Clery</w:t>
      </w:r>
      <w:proofErr w:type="spellEnd"/>
      <w:r>
        <w:t xml:space="preserve"> Disclosure of Campus Security Police and Campus Crime Statistics Act (</w:t>
      </w:r>
      <w:proofErr w:type="spellStart"/>
      <w:r>
        <w:t>Clery</w:t>
      </w:r>
      <w:proofErr w:type="spellEnd"/>
      <w:r>
        <w:t xml:space="preserve"> Act), this policy outlines the procedures that the university follows to provide a timely warning to the university community upon the UNC Pembroke Police and Public Safety Department’s discovery of pertinent information about a reported crime in which the UNC Pembroke Police and Public Safety Department determines there could be a serious or ongoing threat to the university community or risk of additional incidents in the future.</w:t>
      </w:r>
    </w:p>
    <w:p w14:paraId="27668F1A" w14:textId="77777777" w:rsidR="006C58F0" w:rsidRDefault="006C58F0" w:rsidP="006C58F0"/>
    <w:p w14:paraId="248C9B95" w14:textId="77777777" w:rsidR="006C58F0" w:rsidRDefault="006C58F0" w:rsidP="006C58F0">
      <w:pPr>
        <w:pStyle w:val="ListParagraph"/>
        <w:ind w:left="0"/>
        <w:rPr>
          <w:b/>
        </w:rPr>
      </w:pPr>
      <w:r>
        <w:rPr>
          <w:b/>
        </w:rPr>
        <w:t>2. POLICY</w:t>
      </w:r>
    </w:p>
    <w:p w14:paraId="41397361" w14:textId="77777777" w:rsidR="006C58F0" w:rsidRDefault="006C58F0" w:rsidP="006C58F0">
      <w:pPr>
        <w:pStyle w:val="ListParagraph"/>
        <w:ind w:left="0"/>
        <w:rPr>
          <w:b/>
        </w:rPr>
      </w:pPr>
    </w:p>
    <w:p w14:paraId="540C1852" w14:textId="77777777" w:rsidR="006C58F0" w:rsidRDefault="006C58F0" w:rsidP="006C58F0">
      <w:pPr>
        <w:pStyle w:val="ListParagraph"/>
        <w:ind w:left="0"/>
      </w:pPr>
      <w:r>
        <w:t>2.1 In an effort to provide timely notice to the campus community in the event a situation arises, either on or off campus, that, in the judgement of the Chief of Police or his/her designee, constitutes an ongoing or continuing threat, a campus wide “timely warning” will be issued.</w:t>
      </w:r>
    </w:p>
    <w:p w14:paraId="6F0DD196" w14:textId="77777777" w:rsidR="006C58F0" w:rsidRDefault="006C58F0" w:rsidP="006C58F0">
      <w:pPr>
        <w:pStyle w:val="ListParagraph"/>
        <w:ind w:left="0"/>
      </w:pPr>
    </w:p>
    <w:p w14:paraId="002E527E" w14:textId="77777777" w:rsidR="006C58F0" w:rsidRDefault="006C58F0" w:rsidP="006C58F0">
      <w:pPr>
        <w:pStyle w:val="ListParagraph"/>
        <w:ind w:left="0"/>
      </w:pPr>
      <w:r>
        <w:t>2.2 In cases that pose an imminent threat to campus, the warning will be issued through the University Emergency Notification System to students, faculty, and staff via an email message and text message.</w:t>
      </w:r>
    </w:p>
    <w:p w14:paraId="0C1F6DF0" w14:textId="77777777" w:rsidR="006C58F0" w:rsidRDefault="006C58F0" w:rsidP="006C58F0">
      <w:pPr>
        <w:pStyle w:val="ListParagraph"/>
        <w:ind w:left="0"/>
      </w:pPr>
    </w:p>
    <w:p w14:paraId="2CC95294" w14:textId="77777777" w:rsidR="006C58F0" w:rsidRDefault="006C58F0" w:rsidP="006C58F0">
      <w:pPr>
        <w:pStyle w:val="ListParagraph"/>
        <w:ind w:left="0"/>
      </w:pPr>
      <w:r>
        <w:t>2.3 If available, the timely warning will provide details of the crime, a description of the suspect, and information that will aid in the prevention of similar incidents, including safety information and protective steps.</w:t>
      </w:r>
    </w:p>
    <w:p w14:paraId="4271B712" w14:textId="77777777" w:rsidR="006C58F0" w:rsidRDefault="006C58F0" w:rsidP="006C58F0">
      <w:pPr>
        <w:pStyle w:val="ListParagraph"/>
        <w:ind w:left="0"/>
      </w:pPr>
    </w:p>
    <w:p w14:paraId="1F890ACA" w14:textId="77777777" w:rsidR="006C58F0" w:rsidRDefault="006C58F0" w:rsidP="006C58F0">
      <w:pPr>
        <w:pStyle w:val="ListParagraph"/>
        <w:ind w:left="0"/>
      </w:pPr>
      <w:r>
        <w:t>2.4 University Police may omit some information from the timely warning if providing it could identify the victim or compromise law enforcement efforts to respond.</w:t>
      </w:r>
    </w:p>
    <w:p w14:paraId="43AF114E" w14:textId="77777777" w:rsidR="00E21744" w:rsidRDefault="00E21744" w:rsidP="006C58F0">
      <w:pPr>
        <w:pStyle w:val="ListParagraph"/>
        <w:ind w:left="0"/>
      </w:pPr>
    </w:p>
    <w:p w14:paraId="42C236FF" w14:textId="5B0CA744" w:rsidR="006C58F0" w:rsidRDefault="006C58F0" w:rsidP="006C58F0">
      <w:pPr>
        <w:pStyle w:val="ListParagraph"/>
        <w:ind w:left="0"/>
      </w:pPr>
      <w:r>
        <w:t xml:space="preserve">2.5 </w:t>
      </w:r>
      <w:r w:rsidR="00A266EC">
        <w:t>Victims can remain confidential when reporting to University or other Campus Security Authorities (CSAs).</w:t>
      </w:r>
    </w:p>
    <w:p w14:paraId="2FC49EAB" w14:textId="77777777" w:rsidR="006C58F0" w:rsidRDefault="006C58F0" w:rsidP="006C58F0">
      <w:pPr>
        <w:pStyle w:val="ListParagraph"/>
        <w:ind w:left="0"/>
      </w:pPr>
    </w:p>
    <w:p w14:paraId="3BFBD933" w14:textId="4DBBBAA4" w:rsidR="006C58F0" w:rsidRDefault="006C58F0" w:rsidP="006C58F0">
      <w:pPr>
        <w:pStyle w:val="ListParagraph"/>
        <w:ind w:left="0"/>
      </w:pPr>
      <w:r>
        <w:t xml:space="preserve">2.6 </w:t>
      </w:r>
      <w:r w:rsidR="00A266EC">
        <w:t>C</w:t>
      </w:r>
      <w:r>
        <w:t>onfidential means that internal notifications will be limited to only required departments (</w:t>
      </w:r>
      <w:proofErr w:type="gramStart"/>
      <w:r>
        <w:t>i.e.</w:t>
      </w:r>
      <w:proofErr w:type="gramEnd"/>
      <w:r>
        <w:t xml:space="preserve"> Office of Title IX/</w:t>
      </w:r>
      <w:proofErr w:type="spellStart"/>
      <w:r>
        <w:t>Clery</w:t>
      </w:r>
      <w:proofErr w:type="spellEnd"/>
      <w:r>
        <w:t>, Vice Chancellor of Student Affairs, and University Police).</w:t>
      </w:r>
    </w:p>
    <w:p w14:paraId="47C85371" w14:textId="77777777" w:rsidR="006C58F0" w:rsidRDefault="006C58F0" w:rsidP="006C58F0">
      <w:pPr>
        <w:pStyle w:val="ListParagraph"/>
        <w:ind w:left="0"/>
      </w:pPr>
    </w:p>
    <w:p w14:paraId="6B35EEB0" w14:textId="77777777" w:rsidR="006C58F0" w:rsidRDefault="006C58F0" w:rsidP="006C58F0">
      <w:pPr>
        <w:pStyle w:val="ListParagraph"/>
        <w:ind w:left="0"/>
        <w:rPr>
          <w:b/>
        </w:rPr>
      </w:pPr>
      <w:r>
        <w:rPr>
          <w:b/>
        </w:rPr>
        <w:t>3. PROCEDURES</w:t>
      </w:r>
    </w:p>
    <w:p w14:paraId="0F12D193" w14:textId="77777777" w:rsidR="006C58F0" w:rsidRDefault="006C58F0" w:rsidP="006C58F0">
      <w:pPr>
        <w:pStyle w:val="ListParagraph"/>
        <w:ind w:left="0"/>
        <w:rPr>
          <w:b/>
        </w:rPr>
      </w:pPr>
    </w:p>
    <w:p w14:paraId="5FFE9CC9" w14:textId="77777777" w:rsidR="006C58F0" w:rsidRDefault="006C58F0" w:rsidP="006C58F0">
      <w:pPr>
        <w:pStyle w:val="ListParagraph"/>
        <w:ind w:left="0"/>
      </w:pPr>
      <w:r>
        <w:t>3.1 The timely warnings may be updated when new or more accurate information becomes available.</w:t>
      </w:r>
    </w:p>
    <w:p w14:paraId="45D1C78D" w14:textId="77777777" w:rsidR="006C58F0" w:rsidRDefault="006C58F0" w:rsidP="006C58F0">
      <w:pPr>
        <w:pStyle w:val="ListParagraph"/>
        <w:ind w:left="0"/>
      </w:pPr>
    </w:p>
    <w:p w14:paraId="1BE141B8" w14:textId="77777777" w:rsidR="006C58F0" w:rsidRDefault="006C58F0" w:rsidP="006C58F0">
      <w:pPr>
        <w:pStyle w:val="ListParagraph"/>
        <w:ind w:left="0"/>
      </w:pPr>
      <w:r>
        <w:t xml:space="preserve">3.2 </w:t>
      </w:r>
      <w:r w:rsidR="006525DF">
        <w:t>At minimum, t</w:t>
      </w:r>
      <w:r>
        <w:t xml:space="preserve">imely warnings will be issued when the pertinent information is </w:t>
      </w:r>
      <w:proofErr w:type="gramStart"/>
      <w:r>
        <w:t>availabl</w:t>
      </w:r>
      <w:r w:rsidR="006525DF">
        <w:t>e</w:t>
      </w:r>
      <w:proofErr w:type="gramEnd"/>
      <w:r w:rsidR="006525DF">
        <w:t xml:space="preserve"> and the following criteria is</w:t>
      </w:r>
      <w:r>
        <w:t xml:space="preserve"> met:</w:t>
      </w:r>
    </w:p>
    <w:p w14:paraId="2BA2ECFD" w14:textId="77777777" w:rsidR="006C58F0" w:rsidRDefault="006C58F0" w:rsidP="006C58F0">
      <w:pPr>
        <w:pStyle w:val="ListParagraph"/>
        <w:ind w:left="0"/>
      </w:pPr>
    </w:p>
    <w:p w14:paraId="246A61C8" w14:textId="77777777" w:rsidR="006C58F0" w:rsidRDefault="006C58F0" w:rsidP="006C58F0">
      <w:pPr>
        <w:pStyle w:val="ListParagraph"/>
        <w:ind w:left="0"/>
      </w:pPr>
      <w:r>
        <w:t xml:space="preserve">3.2.1 One of the following </w:t>
      </w:r>
      <w:proofErr w:type="spellStart"/>
      <w:r>
        <w:t>Clery</w:t>
      </w:r>
      <w:proofErr w:type="spellEnd"/>
      <w:r>
        <w:t xml:space="preserve"> crimes is reported in good faith:</w:t>
      </w:r>
    </w:p>
    <w:p w14:paraId="2035EE28" w14:textId="77777777" w:rsidR="006C58F0" w:rsidRDefault="006C58F0" w:rsidP="006C58F0">
      <w:pPr>
        <w:pStyle w:val="ListParagraph"/>
        <w:ind w:left="0"/>
      </w:pPr>
    </w:p>
    <w:p w14:paraId="4FFE265C" w14:textId="677720B2" w:rsidR="006C58F0" w:rsidRDefault="006C58F0" w:rsidP="006C58F0">
      <w:pPr>
        <w:pStyle w:val="ListParagraph"/>
        <w:ind w:left="0"/>
      </w:pPr>
      <w:r>
        <w:t>3.2.1.</w:t>
      </w:r>
      <w:r w:rsidR="04F8A8B4">
        <w:t>1</w:t>
      </w:r>
      <w:r>
        <w:t xml:space="preserve"> Criminal homicide, including: </w:t>
      </w:r>
      <w:r w:rsidR="006525DF">
        <w:t xml:space="preserve">Murder and </w:t>
      </w:r>
      <w:proofErr w:type="gramStart"/>
      <w:r w:rsidR="006525DF">
        <w:t>Manslaughter;</w:t>
      </w:r>
      <w:proofErr w:type="gramEnd"/>
    </w:p>
    <w:p w14:paraId="6412693E" w14:textId="77777777" w:rsidR="006C58F0" w:rsidRDefault="006C58F0" w:rsidP="006C58F0">
      <w:pPr>
        <w:pStyle w:val="ListParagraph"/>
        <w:ind w:left="0"/>
      </w:pPr>
    </w:p>
    <w:p w14:paraId="315C56DA" w14:textId="568E25CC" w:rsidR="006C58F0" w:rsidRDefault="006C58F0" w:rsidP="006C58F0">
      <w:pPr>
        <w:pStyle w:val="ListParagraph"/>
        <w:ind w:left="0"/>
      </w:pPr>
      <w:r>
        <w:t>3.2.1.</w:t>
      </w:r>
      <w:r w:rsidR="73D6CEB0">
        <w:t>2</w:t>
      </w:r>
      <w:r>
        <w:t xml:space="preserve"> Sex offenses, including: </w:t>
      </w:r>
      <w:r w:rsidR="006525DF">
        <w:t xml:space="preserve">Rape, Fondling, Incest, and Statutory </w:t>
      </w:r>
      <w:proofErr w:type="gramStart"/>
      <w:r w:rsidR="006525DF">
        <w:t>Rape;</w:t>
      </w:r>
      <w:proofErr w:type="gramEnd"/>
    </w:p>
    <w:p w14:paraId="3E7CAF2E" w14:textId="77777777" w:rsidR="006C58F0" w:rsidRDefault="006C58F0" w:rsidP="006C58F0">
      <w:pPr>
        <w:pStyle w:val="ListParagraph"/>
        <w:ind w:left="0"/>
      </w:pPr>
    </w:p>
    <w:p w14:paraId="50594436" w14:textId="0943704D" w:rsidR="006C58F0" w:rsidRDefault="006C58F0" w:rsidP="006C58F0">
      <w:pPr>
        <w:pStyle w:val="ListParagraph"/>
        <w:ind w:left="0"/>
      </w:pPr>
      <w:r>
        <w:t>3.2.1.</w:t>
      </w:r>
      <w:r w:rsidR="4D3C70CB">
        <w:t>3</w:t>
      </w:r>
      <w:r>
        <w:t xml:space="preserve"> </w:t>
      </w:r>
      <w:proofErr w:type="gramStart"/>
      <w:r>
        <w:t>Robbery;</w:t>
      </w:r>
      <w:proofErr w:type="gramEnd"/>
    </w:p>
    <w:p w14:paraId="0B9AB6EB" w14:textId="77777777" w:rsidR="006C58F0" w:rsidRDefault="006C58F0" w:rsidP="006C58F0">
      <w:pPr>
        <w:pStyle w:val="ListParagraph"/>
        <w:ind w:left="0"/>
      </w:pPr>
    </w:p>
    <w:p w14:paraId="49680D0B" w14:textId="78DA02EF" w:rsidR="006C58F0" w:rsidRDefault="006C58F0" w:rsidP="006C58F0">
      <w:pPr>
        <w:pStyle w:val="ListParagraph"/>
        <w:ind w:left="0"/>
      </w:pPr>
      <w:r>
        <w:t>3.2.1.</w:t>
      </w:r>
      <w:r w:rsidR="3BBCAEDB">
        <w:t>4</w:t>
      </w:r>
      <w:r>
        <w:t xml:space="preserve"> Aggravated </w:t>
      </w:r>
      <w:proofErr w:type="gramStart"/>
      <w:r>
        <w:t>assault;</w:t>
      </w:r>
      <w:proofErr w:type="gramEnd"/>
    </w:p>
    <w:p w14:paraId="37C93743" w14:textId="77777777" w:rsidR="006C58F0" w:rsidRDefault="006C58F0" w:rsidP="006C58F0">
      <w:pPr>
        <w:pStyle w:val="ListParagraph"/>
        <w:ind w:left="0"/>
      </w:pPr>
    </w:p>
    <w:p w14:paraId="3D59DE21" w14:textId="3E8BEEF1" w:rsidR="00BE7E6B" w:rsidRDefault="006C58F0" w:rsidP="00BE7E6B">
      <w:pPr>
        <w:pStyle w:val="ListParagraph"/>
        <w:ind w:left="0"/>
      </w:pPr>
      <w:r>
        <w:t>3.2.1.</w:t>
      </w:r>
      <w:r w:rsidR="16F8FC24">
        <w:t>5</w:t>
      </w:r>
      <w:r>
        <w:t xml:space="preserve"> </w:t>
      </w:r>
      <w:r w:rsidR="00BE7E6B">
        <w:t>Major Incidents of Arson; and</w:t>
      </w:r>
    </w:p>
    <w:p w14:paraId="3BAB7B32" w14:textId="77777777" w:rsidR="006C58F0" w:rsidRDefault="006C58F0" w:rsidP="006C58F0">
      <w:pPr>
        <w:pStyle w:val="ListParagraph"/>
        <w:ind w:left="0"/>
      </w:pPr>
    </w:p>
    <w:p w14:paraId="2C0824A9" w14:textId="344BAA67" w:rsidR="006C58F0" w:rsidRDefault="006C58F0" w:rsidP="006C58F0">
      <w:pPr>
        <w:pStyle w:val="ListParagraph"/>
        <w:ind w:left="0"/>
      </w:pPr>
      <w:r>
        <w:t>3.2.1.</w:t>
      </w:r>
      <w:r w:rsidR="4EAA97D8">
        <w:t xml:space="preserve">6 </w:t>
      </w:r>
      <w:r w:rsidR="00FC2311">
        <w:t xml:space="preserve">All other </w:t>
      </w:r>
      <w:proofErr w:type="spellStart"/>
      <w:r w:rsidR="00FC2311">
        <w:t>Clery</w:t>
      </w:r>
      <w:proofErr w:type="spellEnd"/>
      <w:r w:rsidR="00FC2311">
        <w:t xml:space="preserve"> or non-</w:t>
      </w:r>
      <w:proofErr w:type="spellStart"/>
      <w:r w:rsidR="00FC2311">
        <w:t>Clery</w:t>
      </w:r>
      <w:proofErr w:type="spellEnd"/>
      <w:r w:rsidR="00FC2311">
        <w:t xml:space="preserve"> crimes, as deemed appropriate; and</w:t>
      </w:r>
    </w:p>
    <w:p w14:paraId="16FF77BC" w14:textId="3E37D562" w:rsidR="0D6CC148" w:rsidRDefault="0D6CC148" w:rsidP="0D6CC148">
      <w:pPr>
        <w:pStyle w:val="ListParagraph"/>
        <w:ind w:left="0"/>
      </w:pPr>
    </w:p>
    <w:p w14:paraId="4F733E16" w14:textId="77777777" w:rsidR="006C58F0" w:rsidRDefault="006C58F0" w:rsidP="006C58F0">
      <w:pPr>
        <w:pStyle w:val="ListParagraph"/>
        <w:ind w:left="0"/>
      </w:pPr>
      <w:r>
        <w:t xml:space="preserve">3.2.2 The crime is reported by the victim to a Campus Security Authority (CSA) or local/state/federal law enforcement agencies that forwards the information to the University Police for evaluation and </w:t>
      </w:r>
      <w:proofErr w:type="gramStart"/>
      <w:r>
        <w:t>dissemination;</w:t>
      </w:r>
      <w:proofErr w:type="gramEnd"/>
    </w:p>
    <w:p w14:paraId="1321B1E7" w14:textId="77777777" w:rsidR="006C58F0" w:rsidRDefault="006C58F0" w:rsidP="006C58F0">
      <w:pPr>
        <w:pStyle w:val="ListParagraph"/>
        <w:ind w:left="0"/>
      </w:pPr>
    </w:p>
    <w:p w14:paraId="0EB2B194" w14:textId="77777777" w:rsidR="006C58F0" w:rsidRDefault="006C58F0" w:rsidP="006C58F0">
      <w:pPr>
        <w:pStyle w:val="ListParagraph"/>
        <w:ind w:left="0"/>
      </w:pPr>
      <w:r>
        <w:t>3.2</w:t>
      </w:r>
      <w:r w:rsidR="00676D9C">
        <w:t>.3 The crime occurs within the u</w:t>
      </w:r>
      <w:r>
        <w:t xml:space="preserve">niversity’s </w:t>
      </w:r>
      <w:proofErr w:type="spellStart"/>
      <w:r>
        <w:t>Clery</w:t>
      </w:r>
      <w:proofErr w:type="spellEnd"/>
      <w:r>
        <w:t xml:space="preserve"> </w:t>
      </w:r>
      <w:proofErr w:type="gramStart"/>
      <w:r>
        <w:t>geography;</w:t>
      </w:r>
      <w:proofErr w:type="gramEnd"/>
    </w:p>
    <w:p w14:paraId="78533941" w14:textId="77777777" w:rsidR="006C58F0" w:rsidRDefault="006C58F0" w:rsidP="006C58F0">
      <w:pPr>
        <w:pStyle w:val="ListParagraph"/>
        <w:ind w:left="0"/>
      </w:pPr>
    </w:p>
    <w:p w14:paraId="2BC85F30" w14:textId="77777777" w:rsidR="002D2F8D" w:rsidRDefault="006C58F0" w:rsidP="002D2F8D">
      <w:pPr>
        <w:pStyle w:val="ListParagraph"/>
        <w:ind w:left="0"/>
      </w:pPr>
      <w:r>
        <w:t>3.2.4 The perpetrator has not been apprehended;</w:t>
      </w:r>
      <w:r w:rsidR="002D2F8D">
        <w:t xml:space="preserve"> and</w:t>
      </w:r>
    </w:p>
    <w:p w14:paraId="40F86F8E" w14:textId="77777777" w:rsidR="002D2F8D" w:rsidRDefault="002D2F8D" w:rsidP="002D2F8D">
      <w:pPr>
        <w:pStyle w:val="ListParagraph"/>
        <w:ind w:left="0"/>
      </w:pPr>
    </w:p>
    <w:p w14:paraId="15DC807E" w14:textId="77777777" w:rsidR="002D2F8D" w:rsidRDefault="006C58F0" w:rsidP="002D2F8D">
      <w:pPr>
        <w:pStyle w:val="ListParagraph"/>
        <w:ind w:left="0"/>
        <w:rPr>
          <w:color w:val="000000"/>
        </w:rPr>
      </w:pPr>
      <w:r>
        <w:t>3.2.</w:t>
      </w:r>
      <w:r w:rsidR="006525DF">
        <w:t xml:space="preserve">5 </w:t>
      </w:r>
      <w:r w:rsidR="006525DF" w:rsidRPr="006D73B8">
        <w:rPr>
          <w:color w:val="000000"/>
        </w:rPr>
        <w:t>The university determines the incident represents a</w:t>
      </w:r>
      <w:r w:rsidR="006525DF">
        <w:rPr>
          <w:color w:val="000000"/>
        </w:rPr>
        <w:t xml:space="preserve"> serious or</w:t>
      </w:r>
      <w:r w:rsidR="006525DF" w:rsidRPr="006D73B8">
        <w:rPr>
          <w:color w:val="000000"/>
        </w:rPr>
        <w:t xml:space="preserve"> ongoing threat</w:t>
      </w:r>
      <w:r w:rsidR="006525DF">
        <w:rPr>
          <w:color w:val="000000"/>
        </w:rPr>
        <w:t xml:space="preserve"> that poses a substantial risk to the physical safety and/or the property of</w:t>
      </w:r>
      <w:r w:rsidR="006525DF" w:rsidRPr="006D73B8">
        <w:rPr>
          <w:color w:val="000000"/>
        </w:rPr>
        <w:t xml:space="preserve"> the campus community; </w:t>
      </w:r>
      <w:r w:rsidR="006525DF">
        <w:rPr>
          <w:color w:val="000000"/>
        </w:rPr>
        <w:t>or</w:t>
      </w:r>
    </w:p>
    <w:p w14:paraId="473A1673" w14:textId="77777777" w:rsidR="002D2F8D" w:rsidRDefault="002D2F8D" w:rsidP="002D2F8D">
      <w:pPr>
        <w:pStyle w:val="ListParagraph"/>
        <w:ind w:left="0"/>
        <w:rPr>
          <w:color w:val="000000"/>
        </w:rPr>
      </w:pPr>
    </w:p>
    <w:p w14:paraId="1A7C07DB" w14:textId="77777777" w:rsidR="006525DF" w:rsidRPr="002D2F8D" w:rsidRDefault="006525DF" w:rsidP="002D2F8D">
      <w:pPr>
        <w:pStyle w:val="ListParagraph"/>
        <w:ind w:left="0"/>
      </w:pPr>
      <w:r>
        <w:rPr>
          <w:color w:val="000000"/>
        </w:rPr>
        <w:t xml:space="preserve">3.2.6 </w:t>
      </w:r>
      <w:r w:rsidRPr="006D73B8">
        <w:rPr>
          <w:color w:val="000000"/>
        </w:rPr>
        <w:t>The</w:t>
      </w:r>
      <w:r w:rsidRPr="00AD0693">
        <w:rPr>
          <w:color w:val="000000"/>
        </w:rPr>
        <w:t xml:space="preserve"> crime represents a pattern that has occurred two or more times within a specific area or shortened/condensed </w:t>
      </w:r>
      <w:proofErr w:type="gramStart"/>
      <w:r w:rsidRPr="00AD0693">
        <w:rPr>
          <w:color w:val="000000"/>
        </w:rPr>
        <w:t>period of time</w:t>
      </w:r>
      <w:proofErr w:type="gramEnd"/>
      <w:r w:rsidRPr="00AD0693">
        <w:rPr>
          <w:color w:val="000000"/>
        </w:rPr>
        <w:t>.</w:t>
      </w:r>
    </w:p>
    <w:p w14:paraId="23461A60" w14:textId="77777777" w:rsidR="006C58F0" w:rsidRDefault="006C58F0" w:rsidP="006525DF">
      <w:pPr>
        <w:pStyle w:val="ListParagraph"/>
        <w:ind w:left="0"/>
      </w:pPr>
    </w:p>
    <w:p w14:paraId="536EA918" w14:textId="77777777" w:rsidR="006C58F0" w:rsidRDefault="006C58F0" w:rsidP="006C58F0">
      <w:pPr>
        <w:pStyle w:val="ListParagraph"/>
        <w:ind w:left="0"/>
      </w:pPr>
      <w:r>
        <w:t xml:space="preserve">3.3 All available information known at the time will be taken into consideration when evaluating </w:t>
      </w:r>
      <w:r>
        <w:lastRenderedPageBreak/>
        <w:t>the need for a timely warning. Those considerations include, but are not limited to:</w:t>
      </w:r>
    </w:p>
    <w:p w14:paraId="2DA0CFC2" w14:textId="77777777" w:rsidR="006C58F0" w:rsidRDefault="006C58F0" w:rsidP="006C58F0">
      <w:pPr>
        <w:pStyle w:val="ListParagraph"/>
        <w:ind w:left="0"/>
      </w:pPr>
      <w:r>
        <w:t xml:space="preserve">3.3.1 The nature and seriousness of the </w:t>
      </w:r>
      <w:proofErr w:type="gramStart"/>
      <w:r>
        <w:t>crime;</w:t>
      </w:r>
      <w:proofErr w:type="gramEnd"/>
    </w:p>
    <w:p w14:paraId="0D4F1DF8" w14:textId="77777777" w:rsidR="006C58F0" w:rsidRDefault="006C58F0" w:rsidP="006C58F0">
      <w:pPr>
        <w:pStyle w:val="ListParagraph"/>
        <w:ind w:left="0"/>
      </w:pPr>
    </w:p>
    <w:p w14:paraId="2F3D7A6D" w14:textId="77777777" w:rsidR="006C58F0" w:rsidRDefault="006C58F0" w:rsidP="006C58F0">
      <w:pPr>
        <w:pStyle w:val="ListParagraph"/>
        <w:ind w:left="0"/>
      </w:pPr>
      <w:r>
        <w:t xml:space="preserve">3.3.2 When and where the incident </w:t>
      </w:r>
      <w:proofErr w:type="gramStart"/>
      <w:r>
        <w:t>occurred;</w:t>
      </w:r>
      <w:proofErr w:type="gramEnd"/>
    </w:p>
    <w:p w14:paraId="648E7E70" w14:textId="77777777" w:rsidR="006C58F0" w:rsidRDefault="006C58F0" w:rsidP="006C58F0">
      <w:pPr>
        <w:pStyle w:val="ListParagraph"/>
        <w:ind w:left="0"/>
      </w:pPr>
    </w:p>
    <w:p w14:paraId="49957C88" w14:textId="77777777" w:rsidR="006C58F0" w:rsidRDefault="006C58F0" w:rsidP="006C58F0">
      <w:pPr>
        <w:pStyle w:val="ListParagraph"/>
        <w:ind w:left="0"/>
      </w:pPr>
      <w:r>
        <w:t xml:space="preserve">3.3.3 When it was </w:t>
      </w:r>
      <w:proofErr w:type="gramStart"/>
      <w:r>
        <w:t>reported;</w:t>
      </w:r>
      <w:proofErr w:type="gramEnd"/>
    </w:p>
    <w:p w14:paraId="06D75230" w14:textId="77777777" w:rsidR="006C58F0" w:rsidRDefault="006C58F0" w:rsidP="006C58F0">
      <w:pPr>
        <w:pStyle w:val="ListParagraph"/>
        <w:ind w:left="0"/>
      </w:pPr>
    </w:p>
    <w:p w14:paraId="0D78BAAE" w14:textId="77777777" w:rsidR="006C58F0" w:rsidRDefault="006C58F0" w:rsidP="006C58F0">
      <w:pPr>
        <w:pStyle w:val="ListParagraph"/>
        <w:ind w:left="0"/>
      </w:pPr>
      <w:r>
        <w:t xml:space="preserve">3.3.4 The duration of time between the occurrence and the </w:t>
      </w:r>
      <w:proofErr w:type="gramStart"/>
      <w:r>
        <w:t>report;</w:t>
      </w:r>
      <w:proofErr w:type="gramEnd"/>
    </w:p>
    <w:p w14:paraId="6B9E6460" w14:textId="77777777" w:rsidR="006C58F0" w:rsidRDefault="006C58F0" w:rsidP="006C58F0">
      <w:pPr>
        <w:pStyle w:val="ListParagraph"/>
        <w:ind w:left="0"/>
      </w:pPr>
    </w:p>
    <w:p w14:paraId="367D956F" w14:textId="77777777" w:rsidR="006C58F0" w:rsidRDefault="006C58F0" w:rsidP="006C58F0">
      <w:pPr>
        <w:pStyle w:val="ListParagraph"/>
        <w:ind w:left="0"/>
      </w:pPr>
      <w:r>
        <w:t xml:space="preserve">3.3.5 The relationship between the victim and </w:t>
      </w:r>
      <w:proofErr w:type="gramStart"/>
      <w:r>
        <w:t>perpetrator;</w:t>
      </w:r>
      <w:proofErr w:type="gramEnd"/>
    </w:p>
    <w:p w14:paraId="0ADAA629" w14:textId="77777777" w:rsidR="006C58F0" w:rsidRDefault="006C58F0" w:rsidP="006C58F0">
      <w:pPr>
        <w:pStyle w:val="ListParagraph"/>
        <w:ind w:left="0"/>
      </w:pPr>
    </w:p>
    <w:p w14:paraId="0125166A" w14:textId="77777777" w:rsidR="006C58F0" w:rsidRDefault="006C58F0" w:rsidP="006C58F0">
      <w:pPr>
        <w:pStyle w:val="ListParagraph"/>
        <w:ind w:left="0"/>
      </w:pPr>
      <w:r>
        <w:t xml:space="preserve">3.3.6 The patterns or trends of other </w:t>
      </w:r>
      <w:proofErr w:type="gramStart"/>
      <w:r>
        <w:t>incidents;</w:t>
      </w:r>
      <w:proofErr w:type="gramEnd"/>
    </w:p>
    <w:p w14:paraId="06D997BC" w14:textId="77777777" w:rsidR="006C58F0" w:rsidRDefault="006C58F0" w:rsidP="006C58F0">
      <w:pPr>
        <w:pStyle w:val="ListParagraph"/>
        <w:ind w:left="0"/>
      </w:pPr>
    </w:p>
    <w:p w14:paraId="649EB5C0" w14:textId="77777777" w:rsidR="006C58F0" w:rsidRDefault="006C58F0" w:rsidP="006C58F0">
      <w:pPr>
        <w:pStyle w:val="ListParagraph"/>
        <w:ind w:left="0"/>
      </w:pPr>
      <w:r>
        <w:t>3.3.7 The continuing danger to the campus community; and</w:t>
      </w:r>
    </w:p>
    <w:p w14:paraId="37AF83C5" w14:textId="77777777" w:rsidR="006C58F0" w:rsidRDefault="006C58F0" w:rsidP="006C58F0">
      <w:pPr>
        <w:pStyle w:val="ListParagraph"/>
        <w:ind w:left="0"/>
      </w:pPr>
    </w:p>
    <w:p w14:paraId="635EE5D8" w14:textId="77777777" w:rsidR="006C58F0" w:rsidRDefault="006C58F0" w:rsidP="006C58F0">
      <w:pPr>
        <w:pStyle w:val="ListParagraph"/>
        <w:ind w:left="0"/>
      </w:pPr>
      <w:r>
        <w:t>3.3.8 The risk of compromising law enforcement efforts or identifying the victim.</w:t>
      </w:r>
    </w:p>
    <w:p w14:paraId="4AA48209" w14:textId="77777777" w:rsidR="006C58F0" w:rsidRDefault="006C58F0" w:rsidP="006C58F0">
      <w:pPr>
        <w:pStyle w:val="ListParagraph"/>
        <w:ind w:left="0"/>
      </w:pPr>
    </w:p>
    <w:p w14:paraId="241D62B2" w14:textId="77777777" w:rsidR="006C58F0" w:rsidRDefault="006C58F0" w:rsidP="006C58F0">
      <w:pPr>
        <w:pStyle w:val="ListParagraph"/>
        <w:ind w:left="0"/>
      </w:pPr>
      <w:r>
        <w:t>3.4 Although each case will be evaluated on an individual basis, timely warnings may not be issued when:</w:t>
      </w:r>
    </w:p>
    <w:p w14:paraId="16600ED3" w14:textId="77777777" w:rsidR="006C58F0" w:rsidRDefault="006C58F0" w:rsidP="006C58F0">
      <w:pPr>
        <w:pStyle w:val="ListParagraph"/>
        <w:ind w:left="0"/>
      </w:pPr>
    </w:p>
    <w:p w14:paraId="7E25650D" w14:textId="4CFA4BB7" w:rsidR="006C58F0" w:rsidRDefault="006C58F0" w:rsidP="006C58F0">
      <w:pPr>
        <w:pStyle w:val="ListParagraph"/>
        <w:ind w:left="0"/>
      </w:pPr>
      <w:r>
        <w:t xml:space="preserve">3.4.1 </w:t>
      </w:r>
      <w:r w:rsidR="00A266EC">
        <w:t>A</w:t>
      </w:r>
      <w:r>
        <w:t xml:space="preserve"> report is filed more than seven (7) calendar days after the date of the alleged </w:t>
      </w:r>
      <w:proofErr w:type="gramStart"/>
      <w:r>
        <w:t>incident;</w:t>
      </w:r>
      <w:proofErr w:type="gramEnd"/>
    </w:p>
    <w:p w14:paraId="7BA2B0F6" w14:textId="77777777" w:rsidR="006C58F0" w:rsidRDefault="006C58F0" w:rsidP="006C58F0">
      <w:pPr>
        <w:pStyle w:val="ListParagraph"/>
        <w:ind w:left="0"/>
      </w:pPr>
    </w:p>
    <w:p w14:paraId="34EA6446" w14:textId="56C75FE0" w:rsidR="006C58F0" w:rsidRDefault="006C58F0" w:rsidP="006C58F0">
      <w:pPr>
        <w:pStyle w:val="ListParagraph"/>
        <w:ind w:left="0"/>
      </w:pPr>
      <w:r>
        <w:t>3.4.</w:t>
      </w:r>
      <w:r w:rsidR="00E21744">
        <w:t>2</w:t>
      </w:r>
      <w:r>
        <w:t xml:space="preserve"> The pertinent information has not been </w:t>
      </w:r>
      <w:proofErr w:type="gramStart"/>
      <w:r>
        <w:t>acquired;</w:t>
      </w:r>
      <w:proofErr w:type="gramEnd"/>
    </w:p>
    <w:p w14:paraId="1F159A7D" w14:textId="77777777" w:rsidR="006C58F0" w:rsidRDefault="006C58F0" w:rsidP="006C58F0">
      <w:pPr>
        <w:pStyle w:val="ListParagraph"/>
        <w:ind w:left="0"/>
      </w:pPr>
    </w:p>
    <w:p w14:paraId="1AD464B6" w14:textId="153571FF" w:rsidR="006C58F0" w:rsidRDefault="006C58F0" w:rsidP="006C58F0">
      <w:pPr>
        <w:pStyle w:val="ListParagraph"/>
        <w:ind w:left="0"/>
      </w:pPr>
      <w:r>
        <w:t>3.4.</w:t>
      </w:r>
      <w:r w:rsidR="00E21744">
        <w:t>3</w:t>
      </w:r>
      <w:r>
        <w:t xml:space="preserve"> The suspect has been apprehended</w:t>
      </w:r>
      <w:r w:rsidR="005F2A0F">
        <w:t xml:space="preserve"> and there is no ongoing threat to the campus </w:t>
      </w:r>
      <w:proofErr w:type="gramStart"/>
      <w:r w:rsidR="005F2A0F">
        <w:t>community</w:t>
      </w:r>
      <w:r>
        <w:t>;</w:t>
      </w:r>
      <w:proofErr w:type="gramEnd"/>
    </w:p>
    <w:p w14:paraId="61284F8A" w14:textId="77777777" w:rsidR="006C58F0" w:rsidRDefault="006C58F0" w:rsidP="006C58F0">
      <w:pPr>
        <w:pStyle w:val="ListParagraph"/>
        <w:ind w:left="0"/>
      </w:pPr>
    </w:p>
    <w:p w14:paraId="62804E87" w14:textId="797A797E" w:rsidR="006C58F0" w:rsidRDefault="006C58F0" w:rsidP="006C58F0">
      <w:pPr>
        <w:pStyle w:val="ListParagraph"/>
        <w:ind w:left="0"/>
      </w:pPr>
      <w:r>
        <w:t>3.4.</w:t>
      </w:r>
      <w:r w:rsidR="00E21744">
        <w:t>4</w:t>
      </w:r>
      <w:r>
        <w:t xml:space="preserve"> The report is not made in good </w:t>
      </w:r>
      <w:proofErr w:type="gramStart"/>
      <w:r>
        <w:t>faith;</w:t>
      </w:r>
      <w:proofErr w:type="gramEnd"/>
    </w:p>
    <w:p w14:paraId="6F51725F" w14:textId="77777777" w:rsidR="006C58F0" w:rsidRDefault="006C58F0" w:rsidP="006C58F0">
      <w:pPr>
        <w:pStyle w:val="ListParagraph"/>
        <w:ind w:left="0"/>
      </w:pPr>
    </w:p>
    <w:p w14:paraId="229DA4D8" w14:textId="42D39BC7" w:rsidR="006C58F0" w:rsidRDefault="00384836" w:rsidP="006C58F0">
      <w:pPr>
        <w:pStyle w:val="ListParagraph"/>
        <w:ind w:left="0"/>
      </w:pPr>
      <w:r>
        <w:t>3.4.</w:t>
      </w:r>
      <w:r w:rsidR="00E21744">
        <w:t>5</w:t>
      </w:r>
      <w:r w:rsidR="006C58F0">
        <w:t xml:space="preserve"> There is a possible risk of compromising law enforcement efforts; or</w:t>
      </w:r>
    </w:p>
    <w:p w14:paraId="14C9AF8A" w14:textId="77777777" w:rsidR="006C58F0" w:rsidRDefault="006C58F0" w:rsidP="006C58F0">
      <w:pPr>
        <w:pStyle w:val="ListParagraph"/>
        <w:ind w:left="0"/>
      </w:pPr>
    </w:p>
    <w:p w14:paraId="185FF609" w14:textId="2474C71F" w:rsidR="006C58F0" w:rsidRDefault="00384836" w:rsidP="006C58F0">
      <w:pPr>
        <w:pStyle w:val="ListParagraph"/>
        <w:ind w:left="0"/>
      </w:pPr>
      <w:r>
        <w:t>3.4.</w:t>
      </w:r>
      <w:r w:rsidR="00E21744">
        <w:t>6</w:t>
      </w:r>
      <w:r w:rsidR="006C58F0">
        <w:t xml:space="preserve"> The report does not pose an ongoing threat to the campus.</w:t>
      </w:r>
    </w:p>
    <w:p w14:paraId="346E73E3" w14:textId="77777777" w:rsidR="006C58F0" w:rsidRDefault="006C58F0" w:rsidP="006C58F0">
      <w:pPr>
        <w:pStyle w:val="ListParagraph"/>
        <w:ind w:left="0"/>
      </w:pPr>
    </w:p>
    <w:p w14:paraId="0C60A349" w14:textId="77777777" w:rsidR="006C58F0" w:rsidRPr="00C20063" w:rsidRDefault="006C58F0" w:rsidP="006C58F0"/>
    <w:p w14:paraId="7264D67F" w14:textId="77777777" w:rsidR="00055C06" w:rsidRDefault="00055C06" w:rsidP="006C58F0">
      <w:pPr>
        <w:pStyle w:val="BodyTextIndent"/>
        <w:rPr>
          <w:sz w:val="16"/>
          <w:szCs w:val="16"/>
        </w:rPr>
      </w:pPr>
    </w:p>
    <w:sectPr w:rsidR="00055C06" w:rsidSect="0094471C">
      <w:headerReference w:type="default" r:id="rId16"/>
      <w:footerReference w:type="default" r:id="rId17"/>
      <w:endnotePr>
        <w:numFmt w:val="decimal"/>
      </w:endnotePr>
      <w:pgSz w:w="12240" w:h="15840"/>
      <w:pgMar w:top="432" w:right="1440" w:bottom="43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5075" w14:textId="77777777" w:rsidR="00396807" w:rsidRDefault="00396807">
      <w:r>
        <w:separator/>
      </w:r>
    </w:p>
  </w:endnote>
  <w:endnote w:type="continuationSeparator" w:id="0">
    <w:p w14:paraId="10A5FCC5" w14:textId="77777777" w:rsidR="00396807" w:rsidRDefault="0039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E3ED" w14:textId="77777777" w:rsidR="003C4122" w:rsidRDefault="003C4122">
    <w:pPr>
      <w:spacing w:line="240" w:lineRule="exact"/>
    </w:pPr>
  </w:p>
  <w:p w14:paraId="4A2CBBFC" w14:textId="1449E7DE" w:rsidR="003C4122" w:rsidRDefault="003C4122">
    <w:pPr>
      <w:framePr w:w="9361" w:wrap="notBeside" w:vAnchor="text" w:hAnchor="text" w:x="1" w:y="1"/>
      <w:jc w:val="center"/>
    </w:pPr>
    <w:r>
      <w:t xml:space="preserve">Page </w:t>
    </w:r>
    <w:r>
      <w:fldChar w:fldCharType="begin"/>
    </w:r>
    <w:r>
      <w:instrText xml:space="preserve">PAGE </w:instrText>
    </w:r>
    <w:r>
      <w:fldChar w:fldCharType="separate"/>
    </w:r>
    <w:r w:rsidR="00F422DF">
      <w:rPr>
        <w:noProof/>
      </w:rPr>
      <w:t>1</w:t>
    </w:r>
    <w:r>
      <w:rPr>
        <w:noProof/>
      </w:rPr>
      <w:fldChar w:fldCharType="end"/>
    </w:r>
    <w:r>
      <w:t xml:space="preserve"> of </w:t>
    </w:r>
    <w:r>
      <w:fldChar w:fldCharType="begin"/>
    </w:r>
    <w:r>
      <w:instrText xml:space="preserve">NUMPAGES </w:instrText>
    </w:r>
    <w:r>
      <w:fldChar w:fldCharType="separate"/>
    </w:r>
    <w:r w:rsidR="00F422DF">
      <w:rPr>
        <w:noProof/>
      </w:rPr>
      <w:t>3</w:t>
    </w:r>
    <w:r>
      <w:rPr>
        <w:noProof/>
      </w:rPr>
      <w:fldChar w:fldCharType="end"/>
    </w:r>
  </w:p>
  <w:p w14:paraId="313497ED" w14:textId="77777777" w:rsidR="003C4122" w:rsidRDefault="003C41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A9B5" w14:textId="77777777" w:rsidR="00396807" w:rsidRDefault="00396807">
      <w:r>
        <w:separator/>
      </w:r>
    </w:p>
  </w:footnote>
  <w:footnote w:type="continuationSeparator" w:id="0">
    <w:p w14:paraId="1AEB0021" w14:textId="77777777" w:rsidR="00396807" w:rsidRDefault="00396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D3FF" w14:textId="71792FF5" w:rsidR="003C4122" w:rsidRDefault="003C4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0A5AE5"/>
    <w:multiLevelType w:val="hybridMultilevel"/>
    <w:tmpl w:val="3A78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A72F17"/>
    <w:multiLevelType w:val="hybridMultilevel"/>
    <w:tmpl w:val="82BE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A3030"/>
    <w:multiLevelType w:val="multilevel"/>
    <w:tmpl w:val="8290435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89C6871"/>
    <w:multiLevelType w:val="multilevel"/>
    <w:tmpl w:val="EA66F8AE"/>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58630685"/>
    <w:multiLevelType w:val="hybridMultilevel"/>
    <w:tmpl w:val="BA0C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F7661"/>
    <w:multiLevelType w:val="hybridMultilevel"/>
    <w:tmpl w:val="71B8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48"/>
    <w:rsid w:val="00055C06"/>
    <w:rsid w:val="00077FEC"/>
    <w:rsid w:val="00095085"/>
    <w:rsid w:val="000D5C7B"/>
    <w:rsid w:val="00153EE2"/>
    <w:rsid w:val="0016382E"/>
    <w:rsid w:val="00166BD3"/>
    <w:rsid w:val="00172697"/>
    <w:rsid w:val="00183067"/>
    <w:rsid w:val="00190279"/>
    <w:rsid w:val="001C5BF3"/>
    <w:rsid w:val="001D217B"/>
    <w:rsid w:val="00200BB8"/>
    <w:rsid w:val="002153DD"/>
    <w:rsid w:val="002457A3"/>
    <w:rsid w:val="002D2F8D"/>
    <w:rsid w:val="002E4056"/>
    <w:rsid w:val="002F1353"/>
    <w:rsid w:val="002F4265"/>
    <w:rsid w:val="00305048"/>
    <w:rsid w:val="0034713A"/>
    <w:rsid w:val="00384836"/>
    <w:rsid w:val="003924D9"/>
    <w:rsid w:val="0039427B"/>
    <w:rsid w:val="00396807"/>
    <w:rsid w:val="003A5BA9"/>
    <w:rsid w:val="003C4122"/>
    <w:rsid w:val="00401C87"/>
    <w:rsid w:val="0040590A"/>
    <w:rsid w:val="004503A8"/>
    <w:rsid w:val="00455950"/>
    <w:rsid w:val="00463FD8"/>
    <w:rsid w:val="00466D41"/>
    <w:rsid w:val="00494A21"/>
    <w:rsid w:val="004B2AF7"/>
    <w:rsid w:val="004D4072"/>
    <w:rsid w:val="004F0163"/>
    <w:rsid w:val="004F6C17"/>
    <w:rsid w:val="004F6C71"/>
    <w:rsid w:val="004F6ECF"/>
    <w:rsid w:val="00520B19"/>
    <w:rsid w:val="005216F3"/>
    <w:rsid w:val="00545A04"/>
    <w:rsid w:val="00583279"/>
    <w:rsid w:val="00587058"/>
    <w:rsid w:val="005D0127"/>
    <w:rsid w:val="005D3C96"/>
    <w:rsid w:val="005E1B8B"/>
    <w:rsid w:val="005E727D"/>
    <w:rsid w:val="005F2A0F"/>
    <w:rsid w:val="00600AFB"/>
    <w:rsid w:val="006270F6"/>
    <w:rsid w:val="0064458C"/>
    <w:rsid w:val="006525DF"/>
    <w:rsid w:val="00656D5B"/>
    <w:rsid w:val="006666EB"/>
    <w:rsid w:val="00674039"/>
    <w:rsid w:val="00676D8C"/>
    <w:rsid w:val="00676D9C"/>
    <w:rsid w:val="0068700A"/>
    <w:rsid w:val="006C58F0"/>
    <w:rsid w:val="006D3B0B"/>
    <w:rsid w:val="006F0C74"/>
    <w:rsid w:val="00723267"/>
    <w:rsid w:val="007300D8"/>
    <w:rsid w:val="007439F2"/>
    <w:rsid w:val="00750DBA"/>
    <w:rsid w:val="00760AED"/>
    <w:rsid w:val="007729CC"/>
    <w:rsid w:val="00774BD3"/>
    <w:rsid w:val="00786CAE"/>
    <w:rsid w:val="007A0B40"/>
    <w:rsid w:val="007A4710"/>
    <w:rsid w:val="007B12DE"/>
    <w:rsid w:val="00847413"/>
    <w:rsid w:val="008720ED"/>
    <w:rsid w:val="008C480A"/>
    <w:rsid w:val="00924C31"/>
    <w:rsid w:val="0094471C"/>
    <w:rsid w:val="00952673"/>
    <w:rsid w:val="00956EFA"/>
    <w:rsid w:val="00961709"/>
    <w:rsid w:val="0098200A"/>
    <w:rsid w:val="009959A3"/>
    <w:rsid w:val="009D2B2C"/>
    <w:rsid w:val="009D4985"/>
    <w:rsid w:val="009F4630"/>
    <w:rsid w:val="00A018C6"/>
    <w:rsid w:val="00A063AC"/>
    <w:rsid w:val="00A1168D"/>
    <w:rsid w:val="00A25525"/>
    <w:rsid w:val="00A266EC"/>
    <w:rsid w:val="00A368AA"/>
    <w:rsid w:val="00A4704A"/>
    <w:rsid w:val="00A606F4"/>
    <w:rsid w:val="00A6306F"/>
    <w:rsid w:val="00A942C0"/>
    <w:rsid w:val="00AB174C"/>
    <w:rsid w:val="00AE2168"/>
    <w:rsid w:val="00AE581A"/>
    <w:rsid w:val="00B12708"/>
    <w:rsid w:val="00B16F54"/>
    <w:rsid w:val="00B3363D"/>
    <w:rsid w:val="00B53C85"/>
    <w:rsid w:val="00B62B63"/>
    <w:rsid w:val="00B825C7"/>
    <w:rsid w:val="00B91052"/>
    <w:rsid w:val="00B9329F"/>
    <w:rsid w:val="00B97C27"/>
    <w:rsid w:val="00BA2F06"/>
    <w:rsid w:val="00BB172E"/>
    <w:rsid w:val="00BB3127"/>
    <w:rsid w:val="00BE6549"/>
    <w:rsid w:val="00BE7E6B"/>
    <w:rsid w:val="00BF7AD8"/>
    <w:rsid w:val="00CA25C6"/>
    <w:rsid w:val="00CB78E1"/>
    <w:rsid w:val="00CD57EE"/>
    <w:rsid w:val="00DA4B7B"/>
    <w:rsid w:val="00DB3E1A"/>
    <w:rsid w:val="00DB7E19"/>
    <w:rsid w:val="00DC0F59"/>
    <w:rsid w:val="00E21744"/>
    <w:rsid w:val="00E2562A"/>
    <w:rsid w:val="00E71824"/>
    <w:rsid w:val="00E94CA7"/>
    <w:rsid w:val="00F00325"/>
    <w:rsid w:val="00F00FA5"/>
    <w:rsid w:val="00F31C20"/>
    <w:rsid w:val="00F422DF"/>
    <w:rsid w:val="00F43B41"/>
    <w:rsid w:val="00F94322"/>
    <w:rsid w:val="00FC2311"/>
    <w:rsid w:val="00FC31E2"/>
    <w:rsid w:val="00FF5B71"/>
    <w:rsid w:val="04F8A8B4"/>
    <w:rsid w:val="0D6CC148"/>
    <w:rsid w:val="16F8FC24"/>
    <w:rsid w:val="3BBCAEDB"/>
    <w:rsid w:val="45C2D959"/>
    <w:rsid w:val="4D3C70CB"/>
    <w:rsid w:val="4EAA97D8"/>
    <w:rsid w:val="73D6C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0997B5"/>
  <w15:chartTrackingRefBased/>
  <w15:docId w15:val="{1C1E4380-20F3-4ED2-82B0-EBE9D292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cs="Tahoma"/>
      <w:sz w:val="16"/>
      <w:szCs w:val="16"/>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styleId="Hyperlink">
    <w:name w:val="Hyperlink"/>
    <w:uiPriority w:val="99"/>
    <w:unhideWhenUsed/>
    <w:rsid w:val="00455950"/>
    <w:rPr>
      <w:color w:val="0563C1"/>
      <w:u w:val="single"/>
    </w:rPr>
  </w:style>
  <w:style w:type="paragraph" w:styleId="ListParagraph">
    <w:name w:val="List Paragraph"/>
    <w:basedOn w:val="Normal"/>
    <w:qFormat/>
    <w:rsid w:val="006C58F0"/>
    <w:pPr>
      <w:ind w:left="720"/>
      <w:contextualSpacing/>
    </w:pPr>
  </w:style>
  <w:style w:type="character" w:styleId="CommentReference">
    <w:name w:val="annotation reference"/>
    <w:basedOn w:val="DefaultParagraphFont"/>
    <w:uiPriority w:val="99"/>
    <w:semiHidden/>
    <w:unhideWhenUsed/>
    <w:rsid w:val="00A942C0"/>
    <w:rPr>
      <w:sz w:val="16"/>
      <w:szCs w:val="16"/>
    </w:rPr>
  </w:style>
  <w:style w:type="paragraph" w:styleId="CommentText">
    <w:name w:val="annotation text"/>
    <w:basedOn w:val="Normal"/>
    <w:link w:val="CommentTextChar"/>
    <w:uiPriority w:val="99"/>
    <w:semiHidden/>
    <w:unhideWhenUsed/>
    <w:rsid w:val="00A942C0"/>
    <w:rPr>
      <w:sz w:val="20"/>
      <w:szCs w:val="20"/>
    </w:rPr>
  </w:style>
  <w:style w:type="character" w:customStyle="1" w:styleId="CommentTextChar">
    <w:name w:val="Comment Text Char"/>
    <w:basedOn w:val="DefaultParagraphFont"/>
    <w:link w:val="CommentText"/>
    <w:uiPriority w:val="99"/>
    <w:semiHidden/>
    <w:rsid w:val="00A942C0"/>
  </w:style>
  <w:style w:type="paragraph" w:styleId="CommentSubject">
    <w:name w:val="annotation subject"/>
    <w:basedOn w:val="CommentText"/>
    <w:next w:val="CommentText"/>
    <w:link w:val="CommentSubjectChar"/>
    <w:uiPriority w:val="99"/>
    <w:semiHidden/>
    <w:unhideWhenUsed/>
    <w:rsid w:val="00A942C0"/>
    <w:rPr>
      <w:b/>
      <w:bCs/>
    </w:rPr>
  </w:style>
  <w:style w:type="character" w:customStyle="1" w:styleId="CommentSubjectChar">
    <w:name w:val="Comment Subject Char"/>
    <w:basedOn w:val="CommentTextChar"/>
    <w:link w:val="CommentSubject"/>
    <w:uiPriority w:val="99"/>
    <w:semiHidden/>
    <w:rsid w:val="00A942C0"/>
    <w:rPr>
      <w:b/>
      <w:bCs/>
    </w:rPr>
  </w:style>
  <w:style w:type="character" w:styleId="UnresolvedMention">
    <w:name w:val="Unresolved Mention"/>
    <w:basedOn w:val="DefaultParagraphFont"/>
    <w:uiPriority w:val="99"/>
    <w:semiHidden/>
    <w:unhideWhenUsed/>
    <w:rsid w:val="00A26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erycenter.org/wp-content/uploads/2016/11/Timely-Warning-Checklis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admins/lead/safety/handbook.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cp.edu/pr/pol-042503-emergency-operations-plan" TargetMode="External"/><Relationship Id="rId5" Type="http://schemas.openxmlformats.org/officeDocument/2006/relationships/numbering" Target="numbering.xml"/><Relationship Id="rId15" Type="http://schemas.openxmlformats.org/officeDocument/2006/relationships/hyperlink" Target="https://www.uncp.edu/resources/title-ix-clery-compliance/reporting-obligations-employe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aveweb.uncp.edu/about/abou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1E27EA118F424B94D9FBD86B6235E8" ma:contentTypeVersion="6" ma:contentTypeDescription="Create a new document." ma:contentTypeScope="" ma:versionID="e4ec6ce7c09b41ee7694ece9509e1a3b">
  <xsd:schema xmlns:xsd="http://www.w3.org/2001/XMLSchema" xmlns:xs="http://www.w3.org/2001/XMLSchema" xmlns:p="http://schemas.microsoft.com/office/2006/metadata/properties" xmlns:ns2="173f0b10-4677-4343-a34a-ecca63a7b839" xmlns:ns3="9f51a92f-a9c7-4010-aefd-925b73c2c749" targetNamespace="http://schemas.microsoft.com/office/2006/metadata/properties" ma:root="true" ma:fieldsID="4bb9a534729483e34e8470ef295d0c4d" ns2:_="" ns3:_="">
    <xsd:import namespace="173f0b10-4677-4343-a34a-ecca63a7b839"/>
    <xsd:import namespace="9f51a92f-a9c7-4010-aefd-925b73c2c7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0b10-4677-4343-a34a-ecca63a7b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1a92f-a9c7-4010-aefd-925b73c2c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50590-4B57-4C22-B867-70DAD7240813}">
  <ds:schemaRefs>
    <ds:schemaRef ds:uri="http://schemas.openxmlformats.org/officeDocument/2006/bibliography"/>
  </ds:schemaRefs>
</ds:datastoreItem>
</file>

<file path=customXml/itemProps2.xml><?xml version="1.0" encoding="utf-8"?>
<ds:datastoreItem xmlns:ds="http://schemas.openxmlformats.org/officeDocument/2006/customXml" ds:itemID="{2ADEBD8A-B921-42F4-8AFD-441B6801A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f0b10-4677-4343-a34a-ecca63a7b839"/>
    <ds:schemaRef ds:uri="9f51a92f-a9c7-4010-aefd-925b73c2c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53F82-4FC7-41E6-9BEC-7601B87A6769}">
  <ds:schemaRefs>
    <ds:schemaRef ds:uri="http://schemas.microsoft.com/sharepoint/v3/contenttype/forms"/>
  </ds:schemaRefs>
</ds:datastoreItem>
</file>

<file path=customXml/itemProps4.xml><?xml version="1.0" encoding="utf-8"?>
<ds:datastoreItem xmlns:ds="http://schemas.openxmlformats.org/officeDocument/2006/customXml" ds:itemID="{ADEB5164-0DC7-4BDE-A777-3024AC025C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732</Words>
  <Characters>4568</Characters>
  <Application>Microsoft Office Word</Application>
  <DocSecurity>0</DocSecurity>
  <Lines>103</Lines>
  <Paragraphs>36</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cp:lastModifiedBy>Byrd, Michael Gordon</cp:lastModifiedBy>
  <cp:revision>6</cp:revision>
  <cp:lastPrinted>2011-11-01T15:51:00Z</cp:lastPrinted>
  <dcterms:created xsi:type="dcterms:W3CDTF">2021-02-09T21:00:00Z</dcterms:created>
  <dcterms:modified xsi:type="dcterms:W3CDTF">2021-05-06T15:14:00Z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0x010100001E27EA118F424B94D9FBD86B6235E8</vt:lpwstr>
  </property>
</Properties>
</file>