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A" w:rsidRDefault="00C74B63" w:rsidP="00C74B63">
      <w:pPr>
        <w:tabs>
          <w:tab w:val="left" w:pos="-1440"/>
        </w:tabs>
        <w:ind w:left="720" w:hanging="720"/>
        <w:jc w:val="center"/>
      </w:pPr>
      <w:r>
        <w:t>POL</w:t>
      </w:r>
      <w:r w:rsidR="00112088">
        <w:t xml:space="preserve"> </w:t>
      </w:r>
      <w:r w:rsidR="00044110">
        <w:t>05.</w:t>
      </w:r>
      <w:r w:rsidR="00E36AF1">
        <w:t>25</w:t>
      </w:r>
      <w:r w:rsidR="00044110">
        <w:t>.01</w:t>
      </w:r>
    </w:p>
    <w:p w:rsidR="00C74B63" w:rsidRDefault="00103CFB" w:rsidP="002B639A">
      <w:pPr>
        <w:tabs>
          <w:tab w:val="left" w:pos="-1440"/>
        </w:tabs>
        <w:jc w:val="center"/>
      </w:pPr>
      <w:r>
        <w:t xml:space="preserve">History of </w:t>
      </w:r>
      <w:r w:rsidR="00E36AF1">
        <w:t>Post-Tenure Review</w:t>
      </w:r>
      <w:r w:rsidR="00C74B63">
        <w:t xml:space="preserve"> Policy</w:t>
      </w:r>
    </w:p>
    <w:p w:rsidR="00C74B63" w:rsidRDefault="00C74B63" w:rsidP="00C74B63">
      <w:pPr>
        <w:tabs>
          <w:tab w:val="left" w:pos="-1440"/>
        </w:tabs>
        <w:ind w:left="720" w:hanging="720"/>
        <w:jc w:val="center"/>
      </w:pPr>
    </w:p>
    <w:p w:rsidR="00C74B63" w:rsidRDefault="00C74B63" w:rsidP="00C74B63">
      <w:pPr>
        <w:tabs>
          <w:tab w:val="left" w:pos="-1440"/>
        </w:tabs>
        <w:ind w:left="720" w:hanging="720"/>
      </w:pPr>
      <w:r>
        <w:rPr>
          <w:b/>
        </w:rPr>
        <w:t>Authority:</w:t>
      </w:r>
      <w:r>
        <w:t xml:space="preserve"> Board of Trustees</w:t>
      </w:r>
    </w:p>
    <w:p w:rsidR="00C74B63" w:rsidRDefault="00C74B63" w:rsidP="00C74B63">
      <w:pPr>
        <w:tabs>
          <w:tab w:val="left" w:pos="-1440"/>
        </w:tabs>
        <w:ind w:left="720" w:hanging="720"/>
      </w:pPr>
    </w:p>
    <w:p w:rsidR="00C74B63" w:rsidRDefault="00C74B63" w:rsidP="00C74B63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History:</w:t>
      </w:r>
    </w:p>
    <w:p w:rsidR="00215CBA" w:rsidRDefault="00215CBA" w:rsidP="00215CBA">
      <w:pPr>
        <w:tabs>
          <w:tab w:val="left" w:pos="-1440"/>
        </w:tabs>
      </w:pPr>
    </w:p>
    <w:p w:rsidR="00215CBA" w:rsidRDefault="00C74B63" w:rsidP="00215CBA">
      <w:pPr>
        <w:tabs>
          <w:tab w:val="left" w:pos="-1440"/>
        </w:tabs>
      </w:pPr>
      <w:r w:rsidRPr="00215CBA">
        <w:rPr>
          <w:b/>
        </w:rPr>
        <w:t>First Issued:</w:t>
      </w:r>
      <w:r>
        <w:t xml:space="preserve"> </w:t>
      </w:r>
    </w:p>
    <w:p w:rsidR="00215CBA" w:rsidRDefault="00215CBA" w:rsidP="00215CBA">
      <w:pPr>
        <w:tabs>
          <w:tab w:val="left" w:pos="-1440"/>
        </w:tabs>
      </w:pPr>
    </w:p>
    <w:p w:rsidR="00B3573E" w:rsidRPr="00215CBA" w:rsidRDefault="00E36AF1" w:rsidP="00215CBA">
      <w:pPr>
        <w:tabs>
          <w:tab w:val="left" w:pos="-1440"/>
        </w:tabs>
      </w:pPr>
      <w:r>
        <w:rPr>
          <w:u w:val="single"/>
        </w:rPr>
        <w:t>1997</w:t>
      </w:r>
      <w:r w:rsidR="00F21D07">
        <w:t xml:space="preserve">. </w:t>
      </w:r>
      <w:r w:rsidR="00215CBA">
        <w:rPr>
          <w:b/>
        </w:rPr>
        <w:t xml:space="preserve">Archived version (Effective </w:t>
      </w:r>
      <w:r>
        <w:rPr>
          <w:b/>
        </w:rPr>
        <w:t>1997</w:t>
      </w:r>
      <w:r w:rsidR="00215CBA">
        <w:rPr>
          <w:b/>
        </w:rPr>
        <w:t xml:space="preserve"> through </w:t>
      </w:r>
      <w:r>
        <w:rPr>
          <w:b/>
        </w:rPr>
        <w:t>February 18</w:t>
      </w:r>
      <w:r w:rsidR="00215CBA">
        <w:rPr>
          <w:b/>
        </w:rPr>
        <w:t>, 201</w:t>
      </w:r>
      <w:r>
        <w:rPr>
          <w:b/>
        </w:rPr>
        <w:t>6</w:t>
      </w:r>
      <w:r w:rsidR="00215CBA">
        <w:rPr>
          <w:b/>
        </w:rPr>
        <w:t xml:space="preserve">). </w:t>
      </w:r>
    </w:p>
    <w:p w:rsidR="00215CBA" w:rsidRDefault="00215CBA" w:rsidP="00215CBA">
      <w:pPr>
        <w:tabs>
          <w:tab w:val="left" w:pos="-1440"/>
        </w:tabs>
      </w:pPr>
    </w:p>
    <w:p w:rsidR="00215CBA" w:rsidRDefault="00F21D07" w:rsidP="00215CBA">
      <w:pPr>
        <w:tabs>
          <w:tab w:val="left" w:pos="-1440"/>
        </w:tabs>
      </w:pPr>
      <w:r w:rsidRPr="00215CBA">
        <w:rPr>
          <w:b/>
        </w:rPr>
        <w:t>Revis</w:t>
      </w:r>
      <w:r w:rsidR="00215CBA" w:rsidRPr="00215CBA">
        <w:rPr>
          <w:b/>
        </w:rPr>
        <w:t>ions</w:t>
      </w:r>
      <w:r w:rsidRPr="00215CBA">
        <w:rPr>
          <w:b/>
        </w:rPr>
        <w:t>:</w:t>
      </w:r>
      <w:r>
        <w:t xml:space="preserve"> </w:t>
      </w:r>
    </w:p>
    <w:p w:rsidR="00215CBA" w:rsidRDefault="00215CBA" w:rsidP="00215CBA">
      <w:pPr>
        <w:tabs>
          <w:tab w:val="left" w:pos="-1440"/>
        </w:tabs>
      </w:pPr>
    </w:p>
    <w:p w:rsidR="00602480" w:rsidRDefault="00E36AF1" w:rsidP="00215CBA">
      <w:pPr>
        <w:tabs>
          <w:tab w:val="left" w:pos="-1440"/>
        </w:tabs>
      </w:pPr>
      <w:r>
        <w:rPr>
          <w:u w:val="single"/>
        </w:rPr>
        <w:t>February 19</w:t>
      </w:r>
      <w:r w:rsidR="00B3573E" w:rsidRPr="00215CBA">
        <w:rPr>
          <w:u w:val="single"/>
        </w:rPr>
        <w:t xml:space="preserve">, </w:t>
      </w:r>
      <w:r w:rsidR="00F21D07" w:rsidRPr="00215CBA">
        <w:rPr>
          <w:u w:val="single"/>
        </w:rPr>
        <w:t>201</w:t>
      </w:r>
      <w:r>
        <w:rPr>
          <w:u w:val="single"/>
        </w:rPr>
        <w:t>6</w:t>
      </w:r>
      <w:r w:rsidR="00F21D07">
        <w:t>.</w:t>
      </w:r>
      <w:r w:rsidR="00215CBA">
        <w:t xml:space="preserve"> </w:t>
      </w:r>
      <w:r w:rsidR="00215CBA">
        <w:rPr>
          <w:b/>
        </w:rPr>
        <w:t>Current version.</w:t>
      </w:r>
      <w:r w:rsidR="00215CBA">
        <w:t xml:space="preserve"> </w:t>
      </w:r>
      <w:r w:rsidR="00602480">
        <w:t xml:space="preserve">This policy was formatted to </w:t>
      </w:r>
      <w:r w:rsidR="00602480">
        <w:t>reflect the new UNC Pembroke Policy and Regulation Standards implemented October 2011.</w:t>
      </w:r>
      <w:r w:rsidR="00602480">
        <w:t xml:space="preserve"> Revisions to the policy were made by the UNC Pembroke Faculty Evaluation Review Subcommittee (FERS) in response to a July 7, 2014, request by the UNC Board of Governors</w:t>
      </w:r>
      <w:r w:rsidR="0024063F">
        <w:t>.</w:t>
      </w:r>
    </w:p>
    <w:p w:rsidR="0024063F" w:rsidRDefault="0024063F" w:rsidP="00215CBA">
      <w:pPr>
        <w:tabs>
          <w:tab w:val="left" w:pos="-1440"/>
        </w:tabs>
      </w:pPr>
    </w:p>
    <w:p w:rsidR="0024063F" w:rsidRPr="00865D65" w:rsidRDefault="0024063F" w:rsidP="00215CBA">
      <w:pPr>
        <w:tabs>
          <w:tab w:val="left" w:pos="-1440"/>
        </w:tabs>
      </w:pPr>
      <w:r>
        <w:t>Sections 1.2 and 1.3 were added to the policy</w:t>
      </w:r>
      <w:r w:rsidR="00865D65">
        <w:t>. The following terms were stricken from the policy and replaced throughout: “</w:t>
      </w:r>
      <w:r w:rsidR="00865D65">
        <w:rPr>
          <w:i/>
        </w:rPr>
        <w:t>satisfactory</w:t>
      </w:r>
      <w:r w:rsidR="00865D65">
        <w:t>” was replaced with “meet or exceed expectations;” “</w:t>
      </w:r>
      <w:r w:rsidR="00865D65">
        <w:rPr>
          <w:i/>
        </w:rPr>
        <w:t>unsatisfactory</w:t>
      </w:r>
      <w:r w:rsidR="00865D65">
        <w:t>” was replaced with “not meet expectations;” and “</w:t>
      </w:r>
      <w:r w:rsidR="00865D65">
        <w:rPr>
          <w:i/>
        </w:rPr>
        <w:t>remains</w:t>
      </w:r>
      <w:r w:rsidR="00865D65">
        <w:t>” was replaced with “continues to not meet expectations.”</w:t>
      </w:r>
      <w:r w:rsidR="0081523F">
        <w:t xml:space="preserve"> Section 3.3.1 now states the department chair must consult with the Peer Evaluation Committee (PEC) before completing their evaluation. Section 3.6.1 now states the provost the post-tenure review process complies with policy and guidelines. Section 4.1 now states support and training will be provided by the institution to post-tenure evaluators, and the provost will certify the training is conducted.</w:t>
      </w:r>
      <w:r w:rsidR="002355A4">
        <w:t xml:space="preserve"> The calendar of events for post-tenure review (Section 5.1) </w:t>
      </w:r>
      <w:bookmarkStart w:id="0" w:name="_GoBack"/>
      <w:bookmarkEnd w:id="0"/>
      <w:r w:rsidR="002355A4">
        <w:t>was updated to reflect submission of a five-year plan.</w:t>
      </w:r>
    </w:p>
    <w:p w:rsidR="00602480" w:rsidRDefault="00602480" w:rsidP="00215CBA">
      <w:pPr>
        <w:tabs>
          <w:tab w:val="left" w:pos="-1440"/>
        </w:tabs>
      </w:pPr>
    </w:p>
    <w:p w:rsidR="00C74B63" w:rsidRDefault="00C74B63" w:rsidP="00C74B63">
      <w:pPr>
        <w:tabs>
          <w:tab w:val="left" w:pos="-1440"/>
        </w:tabs>
        <w:rPr>
          <w:b/>
        </w:rPr>
      </w:pPr>
      <w:r>
        <w:rPr>
          <w:b/>
        </w:rPr>
        <w:t>Related Policies:</w:t>
      </w:r>
    </w:p>
    <w:p w:rsidR="00E36AF1" w:rsidRPr="00E36AF1" w:rsidRDefault="00E36AF1" w:rsidP="00E36AF1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</w:rPr>
      </w:pPr>
      <w:hyperlink r:id="rId8" w:history="1">
        <w:r w:rsidRPr="00E36AF1">
          <w:rPr>
            <w:rFonts w:eastAsia="Calibri"/>
            <w:color w:val="0000FF"/>
            <w:u w:val="single"/>
          </w:rPr>
          <w:t>UNC Policy Manual 400.3.3 – Performance Review of Tenured Faculty</w:t>
        </w:r>
      </w:hyperlink>
    </w:p>
    <w:p w:rsidR="00E36AF1" w:rsidRPr="00E36AF1" w:rsidRDefault="00E36AF1" w:rsidP="00E36AF1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</w:rPr>
      </w:pPr>
      <w:hyperlink r:id="rId9" w:history="1">
        <w:r w:rsidRPr="00E36AF1">
          <w:rPr>
            <w:rFonts w:eastAsia="Calibri"/>
            <w:color w:val="0000FF"/>
            <w:u w:val="single"/>
          </w:rPr>
          <w:t>UNC Policy Manual 400.3.3.1[G] – Guidelines on Performance Review of Tenured Faculty</w:t>
        </w:r>
      </w:hyperlink>
    </w:p>
    <w:p w:rsidR="00E36AF1" w:rsidRPr="00E36AF1" w:rsidRDefault="00E36AF1" w:rsidP="00E36AF1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</w:rPr>
      </w:pPr>
      <w:hyperlink r:id="rId10" w:history="1">
        <w:r w:rsidRPr="00E36AF1">
          <w:rPr>
            <w:rFonts w:eastAsia="Calibri"/>
            <w:i/>
            <w:color w:val="0000FF"/>
            <w:u w:val="single"/>
          </w:rPr>
          <w:t>The Code</w:t>
        </w:r>
        <w:r w:rsidRPr="00E36AF1">
          <w:rPr>
            <w:rFonts w:eastAsia="Calibri"/>
            <w:color w:val="0000FF"/>
            <w:u w:val="single"/>
          </w:rPr>
          <w:t xml:space="preserve"> of the Board of Governors of the University of North Carolina, Section VI</w:t>
        </w:r>
      </w:hyperlink>
    </w:p>
    <w:p w:rsidR="00E36AF1" w:rsidRPr="00E36AF1" w:rsidRDefault="00E36AF1" w:rsidP="00E36AF1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</w:rPr>
      </w:pPr>
      <w:hyperlink r:id="rId11" w:history="1">
        <w:r w:rsidRPr="00E36AF1">
          <w:rPr>
            <w:rFonts w:eastAsia="Calibri"/>
            <w:i/>
            <w:color w:val="0000FF"/>
            <w:u w:val="single"/>
          </w:rPr>
          <w:t>The Code</w:t>
        </w:r>
        <w:r w:rsidRPr="00E36AF1">
          <w:rPr>
            <w:rFonts w:eastAsia="Calibri"/>
            <w:color w:val="0000FF"/>
            <w:u w:val="single"/>
          </w:rPr>
          <w:t>, Section 603(1) – Due Process Before Discharge or the Imposition of Serious Sanctions</w:t>
        </w:r>
      </w:hyperlink>
    </w:p>
    <w:p w:rsidR="00E36AF1" w:rsidRPr="00E36AF1" w:rsidRDefault="00E36AF1" w:rsidP="00E36AF1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</w:rPr>
      </w:pPr>
      <w:hyperlink r:id="rId12" w:history="1">
        <w:r w:rsidRPr="00E36AF1">
          <w:rPr>
            <w:rFonts w:eastAsia="Calibri"/>
            <w:color w:val="0000FF"/>
            <w:u w:val="single"/>
          </w:rPr>
          <w:t>UNC Pembroke Faculty Handbook</w:t>
        </w:r>
      </w:hyperlink>
    </w:p>
    <w:p w:rsidR="00E36AF1" w:rsidRPr="00E36AF1" w:rsidRDefault="00E36AF1" w:rsidP="00E36AF1">
      <w:pPr>
        <w:widowControl/>
        <w:autoSpaceDE/>
        <w:autoSpaceDN/>
        <w:adjustRightInd/>
        <w:rPr>
          <w:rFonts w:eastAsia="Calibri"/>
        </w:rPr>
      </w:pPr>
    </w:p>
    <w:p w:rsidR="00E36AF1" w:rsidRPr="00E36AF1" w:rsidRDefault="00E36AF1" w:rsidP="00E36AF1">
      <w:pPr>
        <w:widowControl/>
        <w:autoSpaceDE/>
        <w:autoSpaceDN/>
        <w:adjustRightInd/>
        <w:rPr>
          <w:rFonts w:eastAsia="Calibri"/>
          <w:b/>
        </w:rPr>
      </w:pPr>
      <w:r w:rsidRPr="00E36AF1">
        <w:rPr>
          <w:rFonts w:eastAsia="Calibri"/>
          <w:b/>
        </w:rPr>
        <w:t>Additional References:</w:t>
      </w:r>
    </w:p>
    <w:p w:rsidR="00E36AF1" w:rsidRPr="00E36AF1" w:rsidRDefault="00E36AF1" w:rsidP="00E36AF1">
      <w:pPr>
        <w:widowControl/>
        <w:numPr>
          <w:ilvl w:val="0"/>
          <w:numId w:val="9"/>
        </w:numPr>
        <w:autoSpaceDE/>
        <w:autoSpaceDN/>
        <w:adjustRightInd/>
        <w:rPr>
          <w:rFonts w:eastAsia="Calibri"/>
        </w:rPr>
      </w:pPr>
      <w:hyperlink r:id="rId13" w:history="1">
        <w:r w:rsidRPr="00E36AF1">
          <w:rPr>
            <w:rFonts w:eastAsia="Calibri"/>
            <w:color w:val="0000FF"/>
            <w:u w:val="single"/>
          </w:rPr>
          <w:t>Post-Tenure Evaluation Recommendation Form</w:t>
        </w:r>
      </w:hyperlink>
    </w:p>
    <w:p w:rsidR="00E36AF1" w:rsidRPr="00E36AF1" w:rsidRDefault="00E36AF1" w:rsidP="00E36AF1">
      <w:pPr>
        <w:widowControl/>
        <w:autoSpaceDE/>
        <w:autoSpaceDN/>
        <w:adjustRightInd/>
        <w:rPr>
          <w:rFonts w:eastAsia="Calibri"/>
        </w:rPr>
      </w:pPr>
    </w:p>
    <w:p w:rsidR="00044110" w:rsidRDefault="00E36AF1" w:rsidP="00E36AF1">
      <w:pPr>
        <w:tabs>
          <w:tab w:val="left" w:pos="-1440"/>
        </w:tabs>
      </w:pPr>
      <w:r w:rsidRPr="00E36AF1">
        <w:rPr>
          <w:b/>
        </w:rPr>
        <w:t xml:space="preserve">Contact Information: </w:t>
      </w:r>
      <w:r w:rsidRPr="00E36AF1">
        <w:t>Provost and Vice Chancellor for Academic Affairs, 910.521.6211.</w:t>
      </w:r>
    </w:p>
    <w:p w:rsidR="00044110" w:rsidRPr="00044110" w:rsidRDefault="00044110" w:rsidP="00C74B63">
      <w:pPr>
        <w:tabs>
          <w:tab w:val="left" w:pos="-1440"/>
        </w:tabs>
      </w:pPr>
    </w:p>
    <w:p w:rsidR="00D45FB1" w:rsidRPr="00D45FB1" w:rsidRDefault="00D45FB1" w:rsidP="005C7991">
      <w:pPr>
        <w:pStyle w:val="NormalWeb"/>
        <w:spacing w:before="0" w:beforeAutospacing="0" w:after="0" w:afterAutospacing="0"/>
      </w:pPr>
    </w:p>
    <w:p w:rsidR="0034713A" w:rsidRDefault="0034713A"/>
    <w:sectPr w:rsidR="0034713A" w:rsidSect="00F21D07"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41" w:rsidRDefault="008C0D41">
      <w:r>
        <w:separator/>
      </w:r>
    </w:p>
  </w:endnote>
  <w:endnote w:type="continuationSeparator" w:id="0">
    <w:p w:rsidR="008C0D41" w:rsidRDefault="008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54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5A2B" w:rsidRPr="00015A2B" w:rsidRDefault="00015A2B">
            <w:pPr>
              <w:pStyle w:val="Footer"/>
              <w:jc w:val="center"/>
            </w:pPr>
            <w:r w:rsidRPr="00015A2B">
              <w:t xml:space="preserve">Page </w:t>
            </w:r>
            <w:r w:rsidRPr="00015A2B">
              <w:rPr>
                <w:bCs/>
              </w:rPr>
              <w:fldChar w:fldCharType="begin"/>
            </w:r>
            <w:r w:rsidRPr="00015A2B">
              <w:rPr>
                <w:bCs/>
              </w:rPr>
              <w:instrText xml:space="preserve"> PAGE </w:instrText>
            </w:r>
            <w:r w:rsidRPr="00015A2B">
              <w:rPr>
                <w:bCs/>
              </w:rPr>
              <w:fldChar w:fldCharType="separate"/>
            </w:r>
            <w:r w:rsidR="002355A4">
              <w:rPr>
                <w:bCs/>
                <w:noProof/>
              </w:rPr>
              <w:t>1</w:t>
            </w:r>
            <w:r w:rsidRPr="00015A2B">
              <w:rPr>
                <w:bCs/>
              </w:rPr>
              <w:fldChar w:fldCharType="end"/>
            </w:r>
            <w:r w:rsidRPr="00015A2B">
              <w:t xml:space="preserve"> of </w:t>
            </w:r>
            <w:r w:rsidRPr="00015A2B">
              <w:rPr>
                <w:bCs/>
              </w:rPr>
              <w:fldChar w:fldCharType="begin"/>
            </w:r>
            <w:r w:rsidRPr="00015A2B">
              <w:rPr>
                <w:bCs/>
              </w:rPr>
              <w:instrText xml:space="preserve"> NUMPAGES  </w:instrText>
            </w:r>
            <w:r w:rsidRPr="00015A2B">
              <w:rPr>
                <w:bCs/>
              </w:rPr>
              <w:fldChar w:fldCharType="separate"/>
            </w:r>
            <w:r w:rsidR="002355A4">
              <w:rPr>
                <w:bCs/>
                <w:noProof/>
              </w:rPr>
              <w:t>1</w:t>
            </w:r>
            <w:r w:rsidRPr="00015A2B">
              <w:rPr>
                <w:bCs/>
              </w:rPr>
              <w:fldChar w:fldCharType="end"/>
            </w:r>
          </w:p>
        </w:sdtContent>
      </w:sdt>
    </w:sdtContent>
  </w:sdt>
  <w:p w:rsidR="0086213C" w:rsidRDefault="008621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41" w:rsidRDefault="008C0D41">
      <w:r>
        <w:separator/>
      </w:r>
    </w:p>
  </w:footnote>
  <w:footnote w:type="continuationSeparator" w:id="0">
    <w:p w:rsidR="008C0D41" w:rsidRDefault="008C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54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0939"/>
    <w:multiLevelType w:val="hybridMultilevel"/>
    <w:tmpl w:val="E58AA2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272C1"/>
    <w:multiLevelType w:val="hybridMultilevel"/>
    <w:tmpl w:val="814CE268"/>
    <w:lvl w:ilvl="0" w:tplc="73AC2C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A3030"/>
    <w:multiLevelType w:val="multilevel"/>
    <w:tmpl w:val="9BFC8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CF95A3A"/>
    <w:multiLevelType w:val="hybridMultilevel"/>
    <w:tmpl w:val="3B4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221B"/>
    <w:multiLevelType w:val="hybridMultilevel"/>
    <w:tmpl w:val="4D2A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6027"/>
    <w:multiLevelType w:val="hybridMultilevel"/>
    <w:tmpl w:val="1EA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0B40"/>
    <w:multiLevelType w:val="hybridMultilevel"/>
    <w:tmpl w:val="A514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26E7"/>
    <w:multiLevelType w:val="multilevel"/>
    <w:tmpl w:val="BBD6A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8"/>
    <w:rsid w:val="00015A2B"/>
    <w:rsid w:val="00044110"/>
    <w:rsid w:val="00055C06"/>
    <w:rsid w:val="00095085"/>
    <w:rsid w:val="000D5C7B"/>
    <w:rsid w:val="000E5AFB"/>
    <w:rsid w:val="0010288B"/>
    <w:rsid w:val="00103CFB"/>
    <w:rsid w:val="00112088"/>
    <w:rsid w:val="001319B4"/>
    <w:rsid w:val="00153EE2"/>
    <w:rsid w:val="001F465E"/>
    <w:rsid w:val="002153DD"/>
    <w:rsid w:val="00215CBA"/>
    <w:rsid w:val="00220656"/>
    <w:rsid w:val="00220F87"/>
    <w:rsid w:val="002317A2"/>
    <w:rsid w:val="002355A4"/>
    <w:rsid w:val="0024063F"/>
    <w:rsid w:val="002942FF"/>
    <w:rsid w:val="002B639A"/>
    <w:rsid w:val="002E4056"/>
    <w:rsid w:val="002F1353"/>
    <w:rsid w:val="00303F32"/>
    <w:rsid w:val="00305048"/>
    <w:rsid w:val="00333411"/>
    <w:rsid w:val="0034713A"/>
    <w:rsid w:val="003A5BA9"/>
    <w:rsid w:val="003C4122"/>
    <w:rsid w:val="00401C87"/>
    <w:rsid w:val="00463FD8"/>
    <w:rsid w:val="00466D41"/>
    <w:rsid w:val="004B2AF7"/>
    <w:rsid w:val="004D4072"/>
    <w:rsid w:val="004F0163"/>
    <w:rsid w:val="004F6ECF"/>
    <w:rsid w:val="00520B19"/>
    <w:rsid w:val="005216F3"/>
    <w:rsid w:val="00585CA9"/>
    <w:rsid w:val="00587058"/>
    <w:rsid w:val="005C7991"/>
    <w:rsid w:val="005E727D"/>
    <w:rsid w:val="00602480"/>
    <w:rsid w:val="0064458C"/>
    <w:rsid w:val="00656D5B"/>
    <w:rsid w:val="00674039"/>
    <w:rsid w:val="00676D8C"/>
    <w:rsid w:val="0068700A"/>
    <w:rsid w:val="006D32F0"/>
    <w:rsid w:val="007610E1"/>
    <w:rsid w:val="007729CC"/>
    <w:rsid w:val="00774BD3"/>
    <w:rsid w:val="007A4710"/>
    <w:rsid w:val="0081523F"/>
    <w:rsid w:val="0086213C"/>
    <w:rsid w:val="00865D65"/>
    <w:rsid w:val="008720ED"/>
    <w:rsid w:val="00877E96"/>
    <w:rsid w:val="008C0D41"/>
    <w:rsid w:val="00924C31"/>
    <w:rsid w:val="0094471C"/>
    <w:rsid w:val="00961709"/>
    <w:rsid w:val="009902AB"/>
    <w:rsid w:val="009959A3"/>
    <w:rsid w:val="009D2B2C"/>
    <w:rsid w:val="009F4630"/>
    <w:rsid w:val="00A018C6"/>
    <w:rsid w:val="00A063AC"/>
    <w:rsid w:val="00A25525"/>
    <w:rsid w:val="00A368AA"/>
    <w:rsid w:val="00AB4F95"/>
    <w:rsid w:val="00AE581A"/>
    <w:rsid w:val="00B3573E"/>
    <w:rsid w:val="00B62B63"/>
    <w:rsid w:val="00B824D3"/>
    <w:rsid w:val="00B825C7"/>
    <w:rsid w:val="00BA2F06"/>
    <w:rsid w:val="00BB172E"/>
    <w:rsid w:val="00BB3127"/>
    <w:rsid w:val="00BF7AD8"/>
    <w:rsid w:val="00C121D1"/>
    <w:rsid w:val="00C74B63"/>
    <w:rsid w:val="00CB78E1"/>
    <w:rsid w:val="00CD52CC"/>
    <w:rsid w:val="00D45FB1"/>
    <w:rsid w:val="00D57D23"/>
    <w:rsid w:val="00D73290"/>
    <w:rsid w:val="00D7525C"/>
    <w:rsid w:val="00DA4B7B"/>
    <w:rsid w:val="00DB3E1A"/>
    <w:rsid w:val="00DD3A5E"/>
    <w:rsid w:val="00E36AF1"/>
    <w:rsid w:val="00E94CA7"/>
    <w:rsid w:val="00F21D07"/>
    <w:rsid w:val="00F31C20"/>
    <w:rsid w:val="00F43B41"/>
    <w:rsid w:val="00F836B7"/>
    <w:rsid w:val="00FA79F0"/>
    <w:rsid w:val="00FE38A3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2D4E407-4CAE-4E21-882F-862AA0A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720" w:hanging="720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2A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apps/policy/index.php?pg=vs&amp;id=16406&amp;added=1" TargetMode="External"/><Relationship Id="rId13" Type="http://schemas.openxmlformats.org/officeDocument/2006/relationships/hyperlink" Target="http://www.uncp.edu/about-uncp/administration/departments/academic-affairs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p.edu/about-uncp/administration/departments/academic-affairs/faculty-handbo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carolina.edu/apps/policy/index.php?pg=vs&amp;id=4433&amp;adde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thcarolina.edu/apps/policy/index.php?pg=toc&amp;id=s4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carolina.edu/apps/policy/index.php?pg=vs&amp;id=392&amp;adde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959C-710B-4202-B937-FCEB442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 TO:  REG/POL ##:  Title of Reg/Pol</vt:lpstr>
    </vt:vector>
  </TitlesOfParts>
  <Company>Network and Client Services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 TO:  REG/POL ##:  Title of Reg/Pol</dc:title>
  <dc:creator>mekurz</dc:creator>
  <cp:lastModifiedBy>UNC Pembroke</cp:lastModifiedBy>
  <cp:revision>3</cp:revision>
  <cp:lastPrinted>2011-11-01T15:51:00Z</cp:lastPrinted>
  <dcterms:created xsi:type="dcterms:W3CDTF">2016-04-13T16:06:00Z</dcterms:created>
  <dcterms:modified xsi:type="dcterms:W3CDTF">2016-05-10T18:16:00Z</dcterms:modified>
</cp:coreProperties>
</file>