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EABA" w14:textId="77777777" w:rsidR="001920FA" w:rsidRDefault="00056AAA" w:rsidP="001920FA">
      <w:pPr>
        <w:widowControl/>
        <w:autoSpaceDE/>
        <w:autoSpaceDN/>
        <w:adjustRightInd/>
        <w:spacing w:line="288" w:lineRule="atLeast"/>
        <w:jc w:val="center"/>
        <w:textAlignment w:val="baseline"/>
        <w:outlineLvl w:val="0"/>
        <w:rPr>
          <w:kern w:val="36"/>
          <w:sz w:val="24"/>
        </w:rPr>
      </w:pPr>
      <w:r>
        <w:rPr>
          <w:kern w:val="36"/>
          <w:sz w:val="24"/>
        </w:rPr>
        <w:t>History of</w:t>
      </w:r>
      <w:r w:rsidR="00FE4FFF">
        <w:rPr>
          <w:kern w:val="36"/>
          <w:sz w:val="24"/>
        </w:rPr>
        <w:t xml:space="preserve"> </w:t>
      </w:r>
      <w:r w:rsidR="00BD0FE0" w:rsidRPr="00BD0FE0">
        <w:rPr>
          <w:kern w:val="36"/>
          <w:sz w:val="24"/>
        </w:rPr>
        <w:t xml:space="preserve">POL </w:t>
      </w:r>
      <w:r w:rsidR="001920FA">
        <w:rPr>
          <w:kern w:val="36"/>
          <w:sz w:val="24"/>
        </w:rPr>
        <w:t>03.00.01</w:t>
      </w:r>
    </w:p>
    <w:p w14:paraId="6CFBA29B" w14:textId="77777777" w:rsidR="00BD0FE0" w:rsidRDefault="001920FA" w:rsidP="001920FA">
      <w:pPr>
        <w:widowControl/>
        <w:autoSpaceDE/>
        <w:autoSpaceDN/>
        <w:adjustRightInd/>
        <w:spacing w:line="288" w:lineRule="atLeast"/>
        <w:jc w:val="center"/>
        <w:textAlignment w:val="baseline"/>
        <w:outlineLvl w:val="0"/>
        <w:rPr>
          <w:kern w:val="36"/>
          <w:sz w:val="24"/>
        </w:rPr>
      </w:pPr>
      <w:r>
        <w:rPr>
          <w:kern w:val="36"/>
          <w:sz w:val="24"/>
        </w:rPr>
        <w:t xml:space="preserve">Facility and Program Naming </w:t>
      </w:r>
      <w:r w:rsidRPr="00BD0FE0">
        <w:rPr>
          <w:kern w:val="36"/>
          <w:sz w:val="24"/>
        </w:rPr>
        <w:t>Policy</w:t>
      </w:r>
      <w:r>
        <w:rPr>
          <w:kern w:val="36"/>
          <w:sz w:val="24"/>
        </w:rPr>
        <w:t xml:space="preserve"> of the University of North Carolina at Pembroke</w:t>
      </w:r>
    </w:p>
    <w:p w14:paraId="0C9A07A0" w14:textId="77777777" w:rsidR="001920FA" w:rsidRDefault="001920FA" w:rsidP="001920FA">
      <w:pPr>
        <w:widowControl/>
        <w:autoSpaceDE/>
        <w:autoSpaceDN/>
        <w:adjustRightInd/>
        <w:spacing w:line="288" w:lineRule="atLeast"/>
        <w:jc w:val="center"/>
        <w:textAlignment w:val="baseline"/>
        <w:outlineLvl w:val="0"/>
        <w:rPr>
          <w:kern w:val="36"/>
          <w:sz w:val="24"/>
        </w:rPr>
      </w:pPr>
    </w:p>
    <w:p w14:paraId="0C234D96" w14:textId="77777777" w:rsidR="001920FA" w:rsidRPr="00BD0FE0" w:rsidRDefault="001920FA" w:rsidP="001920FA">
      <w:pPr>
        <w:widowControl/>
        <w:autoSpaceDE/>
        <w:autoSpaceDN/>
        <w:adjustRightInd/>
        <w:spacing w:line="288" w:lineRule="atLeast"/>
        <w:jc w:val="center"/>
        <w:textAlignment w:val="baseline"/>
        <w:outlineLvl w:val="0"/>
        <w:rPr>
          <w:kern w:val="36"/>
          <w:sz w:val="24"/>
        </w:rPr>
      </w:pPr>
    </w:p>
    <w:p w14:paraId="41641968" w14:textId="77777777" w:rsidR="00BD0FE0" w:rsidRPr="00BD0FE0" w:rsidRDefault="00BD0FE0" w:rsidP="00BD0FE0">
      <w:pPr>
        <w:widowControl/>
        <w:autoSpaceDE/>
        <w:autoSpaceDN/>
        <w:adjustRightInd/>
        <w:spacing w:line="233" w:lineRule="atLeast"/>
        <w:textAlignment w:val="baseline"/>
        <w:rPr>
          <w:sz w:val="24"/>
        </w:rPr>
      </w:pPr>
      <w:r w:rsidRPr="00BD0FE0">
        <w:rPr>
          <w:b/>
          <w:bCs/>
          <w:sz w:val="24"/>
          <w:bdr w:val="none" w:sz="0" w:space="0" w:color="auto" w:frame="1"/>
        </w:rPr>
        <w:t>Authority:</w:t>
      </w:r>
      <w:r w:rsidRPr="00BD0FE0">
        <w:rPr>
          <w:sz w:val="24"/>
        </w:rPr>
        <w:t> Board of Trustees </w:t>
      </w:r>
      <w:r w:rsidRPr="00BD0FE0">
        <w:rPr>
          <w:sz w:val="24"/>
        </w:rPr>
        <w:br/>
      </w:r>
    </w:p>
    <w:p w14:paraId="382F812D" w14:textId="77777777" w:rsidR="00FE4FFF" w:rsidRDefault="00BD0FE0" w:rsidP="00BD0FE0">
      <w:pPr>
        <w:widowControl/>
        <w:autoSpaceDE/>
        <w:autoSpaceDN/>
        <w:adjustRightInd/>
        <w:spacing w:line="233" w:lineRule="atLeast"/>
        <w:textAlignment w:val="baseline"/>
        <w:rPr>
          <w:sz w:val="24"/>
        </w:rPr>
      </w:pPr>
      <w:r w:rsidRPr="00BD0FE0">
        <w:rPr>
          <w:b/>
          <w:bCs/>
          <w:sz w:val="24"/>
          <w:bdr w:val="none" w:sz="0" w:space="0" w:color="auto" w:frame="1"/>
        </w:rPr>
        <w:t>History:</w:t>
      </w:r>
      <w:r w:rsidRPr="00BD0FE0">
        <w:rPr>
          <w:sz w:val="24"/>
        </w:rPr>
        <w:t> </w:t>
      </w:r>
    </w:p>
    <w:p w14:paraId="117B5F63" w14:textId="77777777" w:rsidR="00FE4FFF" w:rsidRDefault="00FE4FFF" w:rsidP="00BD0FE0">
      <w:pPr>
        <w:widowControl/>
        <w:autoSpaceDE/>
        <w:autoSpaceDN/>
        <w:adjustRightInd/>
        <w:spacing w:line="233" w:lineRule="atLeast"/>
        <w:textAlignment w:val="baseline"/>
        <w:rPr>
          <w:sz w:val="24"/>
        </w:rPr>
      </w:pPr>
    </w:p>
    <w:p w14:paraId="450709BE" w14:textId="77777777" w:rsidR="00FE4FFF" w:rsidRDefault="00BD0FE0" w:rsidP="00BD0FE0">
      <w:pPr>
        <w:widowControl/>
        <w:autoSpaceDE/>
        <w:autoSpaceDN/>
        <w:adjustRightInd/>
        <w:spacing w:line="233" w:lineRule="atLeast"/>
        <w:textAlignment w:val="baseline"/>
        <w:rPr>
          <w:sz w:val="24"/>
        </w:rPr>
      </w:pPr>
      <w:r w:rsidRPr="00FE4FFF">
        <w:rPr>
          <w:b/>
          <w:sz w:val="24"/>
        </w:rPr>
        <w:t>First Issued:</w:t>
      </w:r>
      <w:r w:rsidRPr="00BD0FE0">
        <w:rPr>
          <w:sz w:val="24"/>
        </w:rPr>
        <w:t xml:space="preserve"> </w:t>
      </w:r>
    </w:p>
    <w:p w14:paraId="3A0DA161" w14:textId="77777777" w:rsidR="00FE4FFF" w:rsidRDefault="00FE4FFF" w:rsidP="00BD0FE0">
      <w:pPr>
        <w:widowControl/>
        <w:autoSpaceDE/>
        <w:autoSpaceDN/>
        <w:adjustRightInd/>
        <w:spacing w:line="233" w:lineRule="atLeast"/>
        <w:textAlignment w:val="baseline"/>
        <w:rPr>
          <w:sz w:val="24"/>
        </w:rPr>
      </w:pPr>
    </w:p>
    <w:p w14:paraId="37F4DA89" w14:textId="77777777" w:rsidR="00395F74" w:rsidRDefault="001920FA" w:rsidP="00BD0FE0">
      <w:pPr>
        <w:widowControl/>
        <w:autoSpaceDE/>
        <w:autoSpaceDN/>
        <w:adjustRightInd/>
        <w:spacing w:line="233" w:lineRule="atLeast"/>
        <w:textAlignment w:val="baseline"/>
        <w:rPr>
          <w:sz w:val="24"/>
        </w:rPr>
      </w:pPr>
      <w:r w:rsidRPr="00393FC0">
        <w:rPr>
          <w:sz w:val="24"/>
          <w:u w:val="single"/>
        </w:rPr>
        <w:t>September 21</w:t>
      </w:r>
      <w:r w:rsidR="00BD0FE0" w:rsidRPr="00393FC0">
        <w:rPr>
          <w:sz w:val="24"/>
          <w:u w:val="single"/>
        </w:rPr>
        <w:t>, 2012</w:t>
      </w:r>
      <w:r w:rsidR="00FE4FFF">
        <w:rPr>
          <w:sz w:val="24"/>
        </w:rPr>
        <w:t xml:space="preserve"> </w:t>
      </w:r>
      <w:r w:rsidR="00395F74">
        <w:rPr>
          <w:b/>
          <w:sz w:val="24"/>
        </w:rPr>
        <w:t>Archived</w:t>
      </w:r>
      <w:r w:rsidR="00FE4FFF">
        <w:rPr>
          <w:b/>
          <w:sz w:val="24"/>
        </w:rPr>
        <w:t xml:space="preserve"> version</w:t>
      </w:r>
      <w:r w:rsidR="00FE4FFF">
        <w:rPr>
          <w:sz w:val="24"/>
        </w:rPr>
        <w:t xml:space="preserve"> – this is a new policy presented to the Public Affairs and Advancement Committee on September 20 and approved and implemented by the Board of Trustees September 21, 2012. Formatting reflects the new UNC Pembroke Policy and Regulation Standards implemented October 2011.</w:t>
      </w:r>
    </w:p>
    <w:p w14:paraId="47707A82" w14:textId="77777777" w:rsidR="00395F74" w:rsidRDefault="00395F74" w:rsidP="00BD0FE0">
      <w:pPr>
        <w:widowControl/>
        <w:autoSpaceDE/>
        <w:autoSpaceDN/>
        <w:adjustRightInd/>
        <w:spacing w:line="233" w:lineRule="atLeast"/>
        <w:textAlignment w:val="baseline"/>
        <w:rPr>
          <w:sz w:val="24"/>
        </w:rPr>
      </w:pPr>
    </w:p>
    <w:p w14:paraId="4118A4AB" w14:textId="77777777" w:rsidR="00056AAA" w:rsidRDefault="00395F74" w:rsidP="00BD0FE0">
      <w:pPr>
        <w:widowControl/>
        <w:autoSpaceDE/>
        <w:autoSpaceDN/>
        <w:adjustRightInd/>
        <w:spacing w:line="233" w:lineRule="atLeast"/>
        <w:textAlignment w:val="baseline"/>
        <w:rPr>
          <w:sz w:val="24"/>
        </w:rPr>
      </w:pPr>
      <w:r>
        <w:rPr>
          <w:sz w:val="24"/>
          <w:u w:val="single"/>
        </w:rPr>
        <w:t>November 20, 2015</w:t>
      </w:r>
      <w:r>
        <w:rPr>
          <w:sz w:val="24"/>
        </w:rPr>
        <w:t xml:space="preserve"> </w:t>
      </w:r>
      <w:r w:rsidR="00056AAA">
        <w:rPr>
          <w:b/>
          <w:sz w:val="24"/>
        </w:rPr>
        <w:t>Archived</w:t>
      </w:r>
      <w:r>
        <w:rPr>
          <w:b/>
          <w:sz w:val="24"/>
        </w:rPr>
        <w:t xml:space="preserve"> version</w:t>
      </w:r>
      <w:r>
        <w:rPr>
          <w:sz w:val="24"/>
        </w:rPr>
        <w:t xml:space="preserve"> – one revision made to the policy which included adding verbiage to para. 10.6.3, describing the steps to be utilized in the event a benefactor defaults on pledge payments. This revision was presented to the Public Affairs and Advancement Committee on November 19 and approved and implemented by the Board of Trustees November 20, 2015.</w:t>
      </w:r>
    </w:p>
    <w:p w14:paraId="69720CFC" w14:textId="77777777" w:rsidR="00056AAA" w:rsidRDefault="00056AAA" w:rsidP="00BD0FE0">
      <w:pPr>
        <w:widowControl/>
        <w:autoSpaceDE/>
        <w:autoSpaceDN/>
        <w:adjustRightInd/>
        <w:spacing w:line="233" w:lineRule="atLeast"/>
        <w:textAlignment w:val="baseline"/>
        <w:rPr>
          <w:sz w:val="24"/>
        </w:rPr>
      </w:pPr>
    </w:p>
    <w:p w14:paraId="373EC0AA" w14:textId="77777777" w:rsidR="008A33FD" w:rsidRDefault="00056AAA" w:rsidP="00056AAA">
      <w:pPr>
        <w:rPr>
          <w:sz w:val="24"/>
        </w:rPr>
      </w:pPr>
      <w:r w:rsidRPr="00056AAA">
        <w:rPr>
          <w:sz w:val="24"/>
          <w:u w:val="single"/>
        </w:rPr>
        <w:t>March 5, 2020</w:t>
      </w:r>
      <w:r>
        <w:rPr>
          <w:sz w:val="24"/>
        </w:rPr>
        <w:t xml:space="preserve"> </w:t>
      </w:r>
      <w:r w:rsidR="008A33FD">
        <w:rPr>
          <w:b/>
          <w:sz w:val="24"/>
        </w:rPr>
        <w:t>Archived</w:t>
      </w:r>
      <w:r w:rsidRPr="00056AAA">
        <w:rPr>
          <w:b/>
          <w:sz w:val="24"/>
        </w:rPr>
        <w:t xml:space="preserve"> </w:t>
      </w:r>
      <w:r w:rsidR="008A33FD">
        <w:rPr>
          <w:b/>
          <w:sz w:val="24"/>
        </w:rPr>
        <w:t>v</w:t>
      </w:r>
      <w:r w:rsidRPr="00056AAA">
        <w:rPr>
          <w:b/>
          <w:sz w:val="24"/>
        </w:rPr>
        <w:t>ersion</w:t>
      </w:r>
      <w:r>
        <w:rPr>
          <w:sz w:val="24"/>
        </w:rPr>
        <w:t xml:space="preserve"> – </w:t>
      </w:r>
      <w:r w:rsidRPr="00056AAA">
        <w:rPr>
          <w:sz w:val="24"/>
        </w:rPr>
        <w:t>Assistant Vice Chancellor of Adv</w:t>
      </w:r>
      <w:r>
        <w:rPr>
          <w:sz w:val="24"/>
        </w:rPr>
        <w:t xml:space="preserve">ancement removed from </w:t>
      </w:r>
      <w:r w:rsidRPr="00056AAA">
        <w:rPr>
          <w:rFonts w:ascii="Times" w:hAnsi="Times"/>
          <w:color w:val="000000"/>
          <w:sz w:val="27"/>
          <w:szCs w:val="27"/>
        </w:rPr>
        <w:t>Special Committee on Donor Naming</w:t>
      </w:r>
      <w:r>
        <w:rPr>
          <w:sz w:val="24"/>
        </w:rPr>
        <w:t xml:space="preserve">. </w:t>
      </w:r>
      <w:r w:rsidRPr="00056AAA">
        <w:rPr>
          <w:sz w:val="24"/>
        </w:rPr>
        <w:t>VC of Advancement made Chair</w:t>
      </w:r>
      <w:r>
        <w:rPr>
          <w:sz w:val="24"/>
        </w:rPr>
        <w:t xml:space="preserve"> of </w:t>
      </w:r>
      <w:r w:rsidRPr="00056AAA">
        <w:rPr>
          <w:rFonts w:ascii="Times" w:hAnsi="Times"/>
          <w:color w:val="000000"/>
          <w:sz w:val="27"/>
          <w:szCs w:val="27"/>
        </w:rPr>
        <w:t>Special Committee on Donor Naming</w:t>
      </w:r>
      <w:r>
        <w:rPr>
          <w:rFonts w:ascii="Times" w:hAnsi="Times"/>
          <w:color w:val="000000"/>
          <w:sz w:val="27"/>
          <w:szCs w:val="27"/>
        </w:rPr>
        <w:t>.</w:t>
      </w:r>
      <w:r>
        <w:rPr>
          <w:rFonts w:ascii="Times" w:hAnsi="Times"/>
          <w:szCs w:val="20"/>
        </w:rPr>
        <w:t xml:space="preserve"> </w:t>
      </w:r>
      <w:r>
        <w:rPr>
          <w:sz w:val="24"/>
        </w:rPr>
        <w:t xml:space="preserve">Reordering of section numbers for consistency. </w:t>
      </w:r>
    </w:p>
    <w:p w14:paraId="1AE57796" w14:textId="77777777" w:rsidR="008A33FD" w:rsidRDefault="008A33FD" w:rsidP="00056AAA">
      <w:pPr>
        <w:rPr>
          <w:sz w:val="24"/>
        </w:rPr>
      </w:pPr>
    </w:p>
    <w:p w14:paraId="576909B8" w14:textId="7161EA2D" w:rsidR="00BD0FE0" w:rsidRPr="00056AAA" w:rsidRDefault="008A33FD" w:rsidP="00056AAA">
      <w:pPr>
        <w:rPr>
          <w:rFonts w:ascii="Times" w:hAnsi="Times"/>
          <w:szCs w:val="20"/>
        </w:rPr>
      </w:pPr>
      <w:r>
        <w:rPr>
          <w:sz w:val="24"/>
          <w:u w:val="single"/>
        </w:rPr>
        <w:t>September</w:t>
      </w:r>
      <w:r w:rsidRPr="00056AAA">
        <w:rPr>
          <w:sz w:val="24"/>
          <w:u w:val="single"/>
        </w:rPr>
        <w:t xml:space="preserve"> 5, 2020</w:t>
      </w:r>
      <w:r>
        <w:rPr>
          <w:sz w:val="24"/>
        </w:rPr>
        <w:t xml:space="preserve"> </w:t>
      </w:r>
      <w:r>
        <w:rPr>
          <w:b/>
          <w:sz w:val="24"/>
        </w:rPr>
        <w:t>Current</w:t>
      </w:r>
      <w:r w:rsidRPr="00056AAA">
        <w:rPr>
          <w:b/>
          <w:sz w:val="24"/>
        </w:rPr>
        <w:t xml:space="preserve"> </w:t>
      </w:r>
      <w:r>
        <w:rPr>
          <w:b/>
          <w:sz w:val="24"/>
        </w:rPr>
        <w:t>v</w:t>
      </w:r>
      <w:r w:rsidRPr="00056AAA">
        <w:rPr>
          <w:b/>
          <w:sz w:val="24"/>
        </w:rPr>
        <w:t>ersion</w:t>
      </w:r>
      <w:r>
        <w:rPr>
          <w:sz w:val="24"/>
        </w:rPr>
        <w:t xml:space="preserve"> – </w:t>
      </w:r>
      <w:r>
        <w:rPr>
          <w:sz w:val="24"/>
        </w:rPr>
        <w:t>Reconstructed the role of the Public Affairs and Advancement, added Special Committee on Donor Naming, rearranged procedures, and expedited naming recognition review.</w:t>
      </w:r>
      <w:r w:rsidR="00BD0FE0" w:rsidRPr="00BD0FE0">
        <w:rPr>
          <w:sz w:val="24"/>
        </w:rPr>
        <w:br/>
      </w:r>
    </w:p>
    <w:p w14:paraId="73A6C071" w14:textId="77777777" w:rsidR="007331D9" w:rsidRDefault="00BD0FE0" w:rsidP="00BD0FE0">
      <w:pPr>
        <w:widowControl/>
        <w:autoSpaceDE/>
        <w:autoSpaceDN/>
        <w:adjustRightInd/>
        <w:spacing w:line="233" w:lineRule="atLeast"/>
        <w:textAlignment w:val="baseline"/>
        <w:rPr>
          <w:b/>
          <w:bCs/>
          <w:sz w:val="24"/>
          <w:bdr w:val="none" w:sz="0" w:space="0" w:color="auto" w:frame="1"/>
        </w:rPr>
      </w:pPr>
      <w:r w:rsidRPr="00BD0FE0">
        <w:rPr>
          <w:b/>
          <w:bCs/>
          <w:sz w:val="24"/>
          <w:bdr w:val="none" w:sz="0" w:space="0" w:color="auto" w:frame="1"/>
        </w:rPr>
        <w:t>Related Policies: </w:t>
      </w:r>
    </w:p>
    <w:p w14:paraId="5F319EC4" w14:textId="77777777" w:rsidR="007331D9" w:rsidRPr="007331D9" w:rsidRDefault="008A33FD" w:rsidP="007331D9">
      <w:pPr>
        <w:widowControl/>
        <w:numPr>
          <w:ilvl w:val="0"/>
          <w:numId w:val="4"/>
        </w:numPr>
        <w:autoSpaceDE/>
        <w:autoSpaceDN/>
        <w:adjustRightInd/>
        <w:spacing w:line="233" w:lineRule="atLeast"/>
        <w:textAlignment w:val="baseline"/>
        <w:rPr>
          <w:sz w:val="24"/>
        </w:rPr>
      </w:pPr>
      <w:hyperlink r:id="rId5" w:history="1">
        <w:r w:rsidR="00BD0FE0" w:rsidRPr="007331D9">
          <w:rPr>
            <w:bCs/>
            <w:color w:val="0000FF"/>
            <w:sz w:val="24"/>
            <w:u w:val="single"/>
            <w:bdr w:val="none" w:sz="0" w:space="0" w:color="auto" w:frame="1"/>
          </w:rPr>
          <w:t>UNC Code Appendix 1 Section VI (Property and Buildings)</w:t>
        </w:r>
      </w:hyperlink>
      <w:r w:rsidR="00BD0FE0" w:rsidRPr="007331D9">
        <w:rPr>
          <w:color w:val="0000FF"/>
          <w:sz w:val="24"/>
        </w:rPr>
        <w:t> </w:t>
      </w:r>
    </w:p>
    <w:p w14:paraId="0DA4BED1" w14:textId="77777777" w:rsidR="00BD0FE0" w:rsidRDefault="008A33FD" w:rsidP="007331D9">
      <w:pPr>
        <w:widowControl/>
        <w:numPr>
          <w:ilvl w:val="0"/>
          <w:numId w:val="4"/>
        </w:numPr>
        <w:autoSpaceDE/>
        <w:autoSpaceDN/>
        <w:adjustRightInd/>
        <w:spacing w:line="233" w:lineRule="atLeast"/>
        <w:textAlignment w:val="baseline"/>
        <w:rPr>
          <w:sz w:val="24"/>
        </w:rPr>
      </w:pPr>
      <w:hyperlink r:id="rId6" w:history="1">
        <w:r w:rsidR="00BD0FE0" w:rsidRPr="007331D9">
          <w:rPr>
            <w:bCs/>
            <w:color w:val="0000FF"/>
            <w:sz w:val="24"/>
            <w:u w:val="single"/>
            <w:bdr w:val="none" w:sz="0" w:space="0" w:color="auto" w:frame="1"/>
          </w:rPr>
          <w:t>UNC Code Appendix 1 Section XVI (Auxiliary Enterprises, Utilities and Miscellaneous Facilities)</w:t>
        </w:r>
      </w:hyperlink>
      <w:r w:rsidR="00BD0FE0" w:rsidRPr="00BD0FE0">
        <w:rPr>
          <w:b/>
          <w:bCs/>
          <w:sz w:val="24"/>
          <w:u w:val="single"/>
          <w:bdr w:val="none" w:sz="0" w:space="0" w:color="auto" w:frame="1"/>
        </w:rPr>
        <w:br/>
      </w:r>
    </w:p>
    <w:p w14:paraId="043903D6" w14:textId="77777777" w:rsidR="00056AAA" w:rsidRDefault="00056AAA" w:rsidP="00056AAA">
      <w:pPr>
        <w:widowControl/>
        <w:autoSpaceDE/>
        <w:autoSpaceDN/>
        <w:adjustRightInd/>
        <w:rPr>
          <w:rFonts w:ascii="Times" w:hAnsi="Times"/>
          <w:color w:val="000000"/>
          <w:sz w:val="27"/>
          <w:szCs w:val="27"/>
        </w:rPr>
      </w:pPr>
      <w:r w:rsidRPr="00056AAA">
        <w:rPr>
          <w:rFonts w:ascii="Times" w:hAnsi="Times"/>
          <w:b/>
          <w:color w:val="000000"/>
          <w:sz w:val="27"/>
          <w:szCs w:val="27"/>
        </w:rPr>
        <w:t>Additional References:</w:t>
      </w:r>
      <w:r>
        <w:rPr>
          <w:rFonts w:ascii="Times" w:hAnsi="Times"/>
          <w:color w:val="000000"/>
          <w:sz w:val="27"/>
          <w:szCs w:val="27"/>
        </w:rPr>
        <w:t xml:space="preserve"> </w:t>
      </w:r>
    </w:p>
    <w:p w14:paraId="1A54ED28" w14:textId="77777777" w:rsidR="00056AAA" w:rsidRDefault="00056AAA" w:rsidP="00056AAA">
      <w:pPr>
        <w:widowControl/>
        <w:numPr>
          <w:ilvl w:val="0"/>
          <w:numId w:val="7"/>
        </w:numPr>
        <w:autoSpaceDE/>
        <w:autoSpaceDN/>
        <w:adjustRightInd/>
        <w:spacing w:line="233" w:lineRule="atLeast"/>
        <w:textAlignment w:val="baseline"/>
        <w:rPr>
          <w:rFonts w:ascii="Times" w:hAnsi="Times"/>
          <w:color w:val="000000"/>
          <w:sz w:val="27"/>
          <w:szCs w:val="27"/>
        </w:rPr>
      </w:pPr>
      <w:hyperlink r:id="rId7" w:history="1">
        <w:r w:rsidRPr="00056AAA">
          <w:rPr>
            <w:rStyle w:val="Hyperlink"/>
            <w:rFonts w:ascii="Times" w:hAnsi="Times"/>
            <w:sz w:val="27"/>
            <w:szCs w:val="27"/>
          </w:rPr>
          <w:t>List of Facilities and Program with Name</w:t>
        </w:r>
      </w:hyperlink>
    </w:p>
    <w:p w14:paraId="471AC4CA" w14:textId="77777777" w:rsidR="00056AAA" w:rsidRPr="00BD0FE0" w:rsidRDefault="00056AAA" w:rsidP="00056AAA">
      <w:pPr>
        <w:widowControl/>
        <w:autoSpaceDE/>
        <w:autoSpaceDN/>
        <w:adjustRightInd/>
        <w:spacing w:line="233" w:lineRule="atLeast"/>
        <w:textAlignment w:val="baseline"/>
        <w:rPr>
          <w:sz w:val="24"/>
        </w:rPr>
      </w:pPr>
    </w:p>
    <w:p w14:paraId="68FC4821" w14:textId="77777777" w:rsidR="00BD0FE0" w:rsidRPr="00BD0FE0" w:rsidRDefault="00BD0FE0" w:rsidP="00BD0FE0">
      <w:pPr>
        <w:widowControl/>
        <w:autoSpaceDE/>
        <w:autoSpaceDN/>
        <w:adjustRightInd/>
        <w:spacing w:line="233" w:lineRule="atLeast"/>
        <w:textAlignment w:val="baseline"/>
        <w:rPr>
          <w:sz w:val="24"/>
        </w:rPr>
      </w:pPr>
      <w:r w:rsidRPr="00BD0FE0">
        <w:rPr>
          <w:b/>
          <w:bCs/>
          <w:sz w:val="24"/>
          <w:bdr w:val="none" w:sz="0" w:space="0" w:color="auto" w:frame="1"/>
        </w:rPr>
        <w:t>Contact Info:</w:t>
      </w:r>
      <w:r w:rsidRPr="00BD0FE0">
        <w:rPr>
          <w:sz w:val="24"/>
        </w:rPr>
        <w:t> Vice Chancellor for University Advancement (910.521.6184)</w:t>
      </w:r>
    </w:p>
    <w:p w14:paraId="31681685" w14:textId="77777777" w:rsidR="00560F8B" w:rsidRDefault="00560F8B" w:rsidP="00C162E7">
      <w:pPr>
        <w:pStyle w:val="NormalWeb"/>
        <w:rPr>
          <w:color w:val="000000"/>
        </w:rPr>
      </w:pPr>
    </w:p>
    <w:sectPr w:rsidR="00560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9A3F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7E6393"/>
    <w:multiLevelType w:val="hybridMultilevel"/>
    <w:tmpl w:val="99F0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06C15"/>
    <w:multiLevelType w:val="hybridMultilevel"/>
    <w:tmpl w:val="3EF4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30475"/>
    <w:multiLevelType w:val="hybridMultilevel"/>
    <w:tmpl w:val="727C9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71892"/>
    <w:multiLevelType w:val="hybridMultilevel"/>
    <w:tmpl w:val="B97C4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A0D8F"/>
    <w:multiLevelType w:val="hybridMultilevel"/>
    <w:tmpl w:val="BD40E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C211BC"/>
    <w:multiLevelType w:val="hybridMultilevel"/>
    <w:tmpl w:val="1666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5"/>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B5"/>
    <w:rsid w:val="00043F64"/>
    <w:rsid w:val="00056AAA"/>
    <w:rsid w:val="00073122"/>
    <w:rsid w:val="00156D3E"/>
    <w:rsid w:val="001920FA"/>
    <w:rsid w:val="00235A9F"/>
    <w:rsid w:val="002836E1"/>
    <w:rsid w:val="003335B5"/>
    <w:rsid w:val="00337A44"/>
    <w:rsid w:val="00360CFA"/>
    <w:rsid w:val="0039345A"/>
    <w:rsid w:val="00393FC0"/>
    <w:rsid w:val="00395F74"/>
    <w:rsid w:val="003C15DD"/>
    <w:rsid w:val="00477500"/>
    <w:rsid w:val="00496210"/>
    <w:rsid w:val="004A2970"/>
    <w:rsid w:val="004B1F53"/>
    <w:rsid w:val="00560F8B"/>
    <w:rsid w:val="005F4603"/>
    <w:rsid w:val="006150A1"/>
    <w:rsid w:val="006A7971"/>
    <w:rsid w:val="00711485"/>
    <w:rsid w:val="007331D9"/>
    <w:rsid w:val="007D6CD7"/>
    <w:rsid w:val="007E666C"/>
    <w:rsid w:val="007E6CC5"/>
    <w:rsid w:val="007E7497"/>
    <w:rsid w:val="0080685E"/>
    <w:rsid w:val="008551AB"/>
    <w:rsid w:val="00863369"/>
    <w:rsid w:val="00891471"/>
    <w:rsid w:val="008A33FD"/>
    <w:rsid w:val="008D4C34"/>
    <w:rsid w:val="00905CA2"/>
    <w:rsid w:val="00944E76"/>
    <w:rsid w:val="009470E2"/>
    <w:rsid w:val="00A246F7"/>
    <w:rsid w:val="00B239AE"/>
    <w:rsid w:val="00BA4BC9"/>
    <w:rsid w:val="00BA4C37"/>
    <w:rsid w:val="00BB3F05"/>
    <w:rsid w:val="00BD0FE0"/>
    <w:rsid w:val="00C162E7"/>
    <w:rsid w:val="00C8201E"/>
    <w:rsid w:val="00CB77EC"/>
    <w:rsid w:val="00CC3322"/>
    <w:rsid w:val="00CD12A5"/>
    <w:rsid w:val="00CF745E"/>
    <w:rsid w:val="00D401EA"/>
    <w:rsid w:val="00D63E77"/>
    <w:rsid w:val="00D833DF"/>
    <w:rsid w:val="00D95A7B"/>
    <w:rsid w:val="00DE57FC"/>
    <w:rsid w:val="00DF3924"/>
    <w:rsid w:val="00E15F53"/>
    <w:rsid w:val="00E73122"/>
    <w:rsid w:val="00EF0BA9"/>
    <w:rsid w:val="00F305E0"/>
    <w:rsid w:val="00FA7974"/>
    <w:rsid w:val="00FD35A0"/>
    <w:rsid w:val="00FE4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C05B4"/>
  <w15:docId w15:val="{BDF6F6CF-A271-4D54-A6B3-3A175E1A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5B5"/>
    <w:pPr>
      <w:widowControl w:val="0"/>
      <w:autoSpaceDE w:val="0"/>
      <w:autoSpaceDN w:val="0"/>
      <w:adjustRightInd w:val="0"/>
    </w:pPr>
    <w:rPr>
      <w:rFonts w:ascii="Times New Roman" w:eastAsia="Times New Roman" w:hAnsi="Times New Roman"/>
      <w:szCs w:val="24"/>
    </w:rPr>
  </w:style>
  <w:style w:type="paragraph" w:styleId="Heading7">
    <w:name w:val="heading 7"/>
    <w:basedOn w:val="Normal"/>
    <w:next w:val="Normal"/>
    <w:link w:val="Heading7Char"/>
    <w:qFormat/>
    <w:rsid w:val="003335B5"/>
    <w:pPr>
      <w:keepNext/>
      <w:widowControl/>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center"/>
      <w:outlineLvl w:val="6"/>
    </w:pPr>
    <w:rPr>
      <w:rFonts w:ascii="Century Gothic" w:hAnsi="Century Gothic"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rsid w:val="003335B5"/>
    <w:rPr>
      <w:rFonts w:ascii="Century Gothic" w:eastAsia="Times New Roman" w:hAnsi="Century Gothic" w:cs="Arial"/>
      <w:b/>
      <w:bCs/>
    </w:rPr>
  </w:style>
  <w:style w:type="paragraph" w:styleId="Title">
    <w:name w:val="Title"/>
    <w:basedOn w:val="Normal"/>
    <w:link w:val="TitleChar"/>
    <w:qFormat/>
    <w:rsid w:val="003335B5"/>
    <w:pPr>
      <w:jc w:val="center"/>
    </w:pPr>
    <w:rPr>
      <w:rFonts w:ascii="Arial" w:hAnsi="Arial" w:cs="Arial"/>
      <w:b/>
      <w:bCs/>
      <w:i/>
      <w:iCs/>
      <w:sz w:val="32"/>
      <w:szCs w:val="32"/>
    </w:rPr>
  </w:style>
  <w:style w:type="character" w:customStyle="1" w:styleId="TitleChar">
    <w:name w:val="Title Char"/>
    <w:link w:val="Title"/>
    <w:rsid w:val="003335B5"/>
    <w:rPr>
      <w:rFonts w:ascii="Arial" w:eastAsia="Times New Roman" w:hAnsi="Arial" w:cs="Arial"/>
      <w:b/>
      <w:bCs/>
      <w:i/>
      <w:iCs/>
      <w:sz w:val="32"/>
      <w:szCs w:val="32"/>
    </w:rPr>
  </w:style>
  <w:style w:type="paragraph" w:styleId="ListParagraph">
    <w:name w:val="List Paragraph"/>
    <w:basedOn w:val="Normal"/>
    <w:uiPriority w:val="34"/>
    <w:qFormat/>
    <w:rsid w:val="00E73122"/>
    <w:pPr>
      <w:ind w:left="720"/>
      <w:contextualSpacing/>
    </w:pPr>
  </w:style>
  <w:style w:type="paragraph" w:styleId="BalloonText">
    <w:name w:val="Balloon Text"/>
    <w:basedOn w:val="Normal"/>
    <w:link w:val="BalloonTextChar"/>
    <w:uiPriority w:val="99"/>
    <w:semiHidden/>
    <w:unhideWhenUsed/>
    <w:rsid w:val="00043F64"/>
    <w:rPr>
      <w:rFonts w:ascii="Tahoma" w:hAnsi="Tahoma" w:cs="Tahoma"/>
      <w:sz w:val="16"/>
      <w:szCs w:val="16"/>
    </w:rPr>
  </w:style>
  <w:style w:type="character" w:customStyle="1" w:styleId="BalloonTextChar">
    <w:name w:val="Balloon Text Char"/>
    <w:link w:val="BalloonText"/>
    <w:uiPriority w:val="99"/>
    <w:semiHidden/>
    <w:rsid w:val="00043F64"/>
    <w:rPr>
      <w:rFonts w:ascii="Tahoma" w:eastAsia="Times New Roman" w:hAnsi="Tahoma" w:cs="Tahoma"/>
      <w:sz w:val="16"/>
      <w:szCs w:val="16"/>
    </w:rPr>
  </w:style>
  <w:style w:type="paragraph" w:customStyle="1" w:styleId="style1">
    <w:name w:val="style1"/>
    <w:basedOn w:val="Normal"/>
    <w:rsid w:val="007E6CC5"/>
    <w:pPr>
      <w:widowControl/>
      <w:autoSpaceDE/>
      <w:autoSpaceDN/>
      <w:adjustRightInd/>
      <w:spacing w:before="100" w:beforeAutospacing="1" w:after="100" w:afterAutospacing="1"/>
    </w:pPr>
    <w:rPr>
      <w:sz w:val="24"/>
    </w:rPr>
  </w:style>
  <w:style w:type="character" w:styleId="Strong">
    <w:name w:val="Strong"/>
    <w:uiPriority w:val="22"/>
    <w:qFormat/>
    <w:rsid w:val="007E6CC5"/>
    <w:rPr>
      <w:b/>
      <w:bCs/>
    </w:rPr>
  </w:style>
  <w:style w:type="paragraph" w:styleId="NormalWeb">
    <w:name w:val="Normal (Web)"/>
    <w:basedOn w:val="Normal"/>
    <w:uiPriority w:val="99"/>
    <w:unhideWhenUsed/>
    <w:rsid w:val="007E6CC5"/>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056A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670794">
      <w:bodyDiv w:val="1"/>
      <w:marLeft w:val="0"/>
      <w:marRight w:val="0"/>
      <w:marTop w:val="0"/>
      <w:marBottom w:val="0"/>
      <w:divBdr>
        <w:top w:val="none" w:sz="0" w:space="0" w:color="auto"/>
        <w:left w:val="none" w:sz="0" w:space="0" w:color="auto"/>
        <w:bottom w:val="none" w:sz="0" w:space="0" w:color="auto"/>
        <w:right w:val="none" w:sz="0" w:space="0" w:color="auto"/>
      </w:divBdr>
    </w:div>
    <w:div w:id="1059018926">
      <w:bodyDiv w:val="1"/>
      <w:marLeft w:val="0"/>
      <w:marRight w:val="0"/>
      <w:marTop w:val="0"/>
      <w:marBottom w:val="0"/>
      <w:divBdr>
        <w:top w:val="none" w:sz="0" w:space="0" w:color="auto"/>
        <w:left w:val="none" w:sz="0" w:space="0" w:color="auto"/>
        <w:bottom w:val="none" w:sz="0" w:space="0" w:color="auto"/>
        <w:right w:val="none" w:sz="0" w:space="0" w:color="auto"/>
      </w:divBdr>
    </w:div>
    <w:div w:id="1122260902">
      <w:bodyDiv w:val="1"/>
      <w:marLeft w:val="0"/>
      <w:marRight w:val="0"/>
      <w:marTop w:val="0"/>
      <w:marBottom w:val="0"/>
      <w:divBdr>
        <w:top w:val="none" w:sz="0" w:space="0" w:color="auto"/>
        <w:left w:val="none" w:sz="0" w:space="0" w:color="auto"/>
        <w:bottom w:val="none" w:sz="0" w:space="0" w:color="auto"/>
        <w:right w:val="none" w:sz="0" w:space="0" w:color="auto"/>
      </w:divBdr>
      <w:divsChild>
        <w:div w:id="1938637417">
          <w:marLeft w:val="0"/>
          <w:marRight w:val="0"/>
          <w:marTop w:val="0"/>
          <w:marBottom w:val="0"/>
          <w:divBdr>
            <w:top w:val="none" w:sz="0" w:space="0" w:color="auto"/>
            <w:left w:val="none" w:sz="0" w:space="0" w:color="auto"/>
            <w:bottom w:val="none" w:sz="0" w:space="0" w:color="auto"/>
            <w:right w:val="none" w:sz="0" w:space="0" w:color="auto"/>
          </w:divBdr>
        </w:div>
      </w:divsChild>
    </w:div>
    <w:div w:id="1154448364">
      <w:bodyDiv w:val="1"/>
      <w:marLeft w:val="0"/>
      <w:marRight w:val="0"/>
      <w:marTop w:val="0"/>
      <w:marBottom w:val="0"/>
      <w:divBdr>
        <w:top w:val="none" w:sz="0" w:space="0" w:color="auto"/>
        <w:left w:val="none" w:sz="0" w:space="0" w:color="auto"/>
        <w:bottom w:val="none" w:sz="0" w:space="0" w:color="auto"/>
        <w:right w:val="none" w:sz="0" w:space="0" w:color="auto"/>
      </w:divBdr>
    </w:div>
    <w:div w:id="17025105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cp.edu/sites/default/files/pr/files/pol-03%2000%2001_List_FacilityProgamNaming_08082017%20copy%20copy.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thcarolina.edu/policy/index.php?tag=Appendix+1" TargetMode="External"/><Relationship Id="rId5" Type="http://schemas.openxmlformats.org/officeDocument/2006/relationships/hyperlink" Target="http://www.northcarolina.edu/policy/index.php?tag=Appendix+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281</Words>
  <Characters>1603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UNC Pembroke</Company>
  <LinksUpToDate>false</LinksUpToDate>
  <CharactersWithSpaces>1881</CharactersWithSpaces>
  <SharedDoc>false</SharedDoc>
  <HLinks>
    <vt:vector size="12" baseType="variant">
      <vt:variant>
        <vt:i4>983065</vt:i4>
      </vt:variant>
      <vt:variant>
        <vt:i4>3</vt:i4>
      </vt:variant>
      <vt:variant>
        <vt:i4>0</vt:i4>
      </vt:variant>
      <vt:variant>
        <vt:i4>5</vt:i4>
      </vt:variant>
      <vt:variant>
        <vt:lpwstr>http://www.northcarolina.edu/policy/index.php?tag=Appendix+1</vt:lpwstr>
      </vt:variant>
      <vt:variant>
        <vt:lpwstr/>
      </vt:variant>
      <vt:variant>
        <vt:i4>983065</vt:i4>
      </vt:variant>
      <vt:variant>
        <vt:i4>0</vt:i4>
      </vt:variant>
      <vt:variant>
        <vt:i4>0</vt:i4>
      </vt:variant>
      <vt:variant>
        <vt:i4>5</vt:i4>
      </vt:variant>
      <vt:variant>
        <vt:lpwstr>http://www.northcarolina.edu/policy/index.php?tag=Appendix+1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UNC Pembroke</dc:creator>
  <cp:keywords/>
  <cp:lastModifiedBy>M. Gordon  Byrd</cp:lastModifiedBy>
  <cp:revision>2</cp:revision>
  <cp:lastPrinted>2013-05-06T15:09:00Z</cp:lastPrinted>
  <dcterms:created xsi:type="dcterms:W3CDTF">2022-05-25T17:20:00Z</dcterms:created>
  <dcterms:modified xsi:type="dcterms:W3CDTF">2022-05-25T17:20:00Z</dcterms:modified>
</cp:coreProperties>
</file>