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25C0" w14:textId="77777777" w:rsidR="00F62E5A" w:rsidRDefault="00F62E5A" w:rsidP="00F62E5A">
      <w:bookmarkStart w:id="0" w:name="_GoBack"/>
      <w:bookmarkEnd w:id="0"/>
      <w:r>
        <w:t>Enrollment Management Services (EMS) Committee</w:t>
      </w:r>
      <w:r w:rsidR="000E0600">
        <w:t xml:space="preserve"> minutes</w:t>
      </w:r>
      <w:r>
        <w:t xml:space="preserve"> 1/9/19</w:t>
      </w:r>
    </w:p>
    <w:p w14:paraId="5D7136BA" w14:textId="77777777" w:rsidR="00F62E5A" w:rsidRDefault="00F62E5A" w:rsidP="00F62E5A">
      <w:r>
        <w:t>Review of November 14th minutes.  Correction Dorea Bonneau, Chair, was present for the November 14, 2018, meeting.  Minutes from November 14, 2018, meeting reviewed and Chair moved to approve minutes-moved and approved.</w:t>
      </w:r>
    </w:p>
    <w:p w14:paraId="5B4D60B3" w14:textId="77777777" w:rsidR="00F62E5A" w:rsidRDefault="00F62E5A" w:rsidP="00F62E5A">
      <w:r>
        <w:t>Agenda (listed below) as presented was accepted.</w:t>
      </w:r>
    </w:p>
    <w:p w14:paraId="428398C8" w14:textId="77777777" w:rsidR="000E0600" w:rsidRPr="000E0600" w:rsidRDefault="000E0600" w:rsidP="000E060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0600">
        <w:rPr>
          <w:rFonts w:ascii="Arial" w:hAnsi="Arial" w:cs="Arial"/>
          <w:b/>
          <w:sz w:val="18"/>
          <w:szCs w:val="18"/>
        </w:rPr>
        <w:t>Agenda</w:t>
      </w:r>
    </w:p>
    <w:p w14:paraId="4D88FDC2" w14:textId="77777777" w:rsidR="000E0600" w:rsidRPr="000E0600" w:rsidRDefault="000E0600" w:rsidP="000E060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0600">
        <w:rPr>
          <w:rFonts w:ascii="Arial" w:hAnsi="Arial" w:cs="Arial"/>
          <w:b/>
          <w:sz w:val="18"/>
          <w:szCs w:val="18"/>
        </w:rPr>
        <w:t>Enrollment Management Subcommittee</w:t>
      </w:r>
    </w:p>
    <w:p w14:paraId="1B7BD1CC" w14:textId="77777777" w:rsidR="000E0600" w:rsidRPr="000E0600" w:rsidRDefault="000E0600" w:rsidP="000E0600">
      <w:pPr>
        <w:jc w:val="center"/>
        <w:rPr>
          <w:rFonts w:ascii="Arial" w:hAnsi="Arial" w:cs="Arial"/>
          <w:b/>
          <w:sz w:val="18"/>
          <w:szCs w:val="18"/>
        </w:rPr>
      </w:pPr>
      <w:r w:rsidRPr="000E0600">
        <w:rPr>
          <w:rFonts w:ascii="Arial" w:hAnsi="Arial" w:cs="Arial"/>
          <w:b/>
          <w:sz w:val="18"/>
          <w:szCs w:val="18"/>
        </w:rPr>
        <w:t>University North Carolina Pembroke</w:t>
      </w:r>
    </w:p>
    <w:p w14:paraId="782C3C2C" w14:textId="77777777" w:rsidR="000E0600" w:rsidRPr="000E0600" w:rsidRDefault="000E0600" w:rsidP="000E0600">
      <w:pPr>
        <w:jc w:val="center"/>
        <w:rPr>
          <w:rFonts w:ascii="Arial" w:hAnsi="Arial" w:cs="Arial"/>
          <w:sz w:val="18"/>
          <w:szCs w:val="18"/>
        </w:rPr>
      </w:pPr>
    </w:p>
    <w:p w14:paraId="540D659C" w14:textId="77777777" w:rsidR="000E0600" w:rsidRPr="000E0600" w:rsidRDefault="000E0600" w:rsidP="000E0600">
      <w:pPr>
        <w:spacing w:after="0"/>
        <w:rPr>
          <w:rFonts w:ascii="Arial" w:hAnsi="Arial" w:cs="Arial"/>
          <w:b/>
          <w:sz w:val="18"/>
          <w:szCs w:val="18"/>
        </w:rPr>
      </w:pPr>
      <w:r w:rsidRPr="000E0600">
        <w:rPr>
          <w:rFonts w:ascii="Arial" w:hAnsi="Arial" w:cs="Arial"/>
          <w:b/>
          <w:sz w:val="18"/>
          <w:szCs w:val="18"/>
        </w:rPr>
        <w:t>Wednesday, January 9, 2019, 3:30 p. m.</w:t>
      </w:r>
    </w:p>
    <w:p w14:paraId="20FFF4CE" w14:textId="77777777" w:rsidR="000E0600" w:rsidRPr="000E0600" w:rsidRDefault="000E0600" w:rsidP="000E0600">
      <w:pPr>
        <w:rPr>
          <w:rFonts w:ascii="Arial" w:hAnsi="Arial" w:cs="Arial"/>
          <w:b/>
          <w:sz w:val="18"/>
          <w:szCs w:val="18"/>
        </w:rPr>
      </w:pPr>
      <w:r w:rsidRPr="000E0600">
        <w:rPr>
          <w:rFonts w:ascii="Arial" w:hAnsi="Arial" w:cs="Arial"/>
          <w:b/>
          <w:sz w:val="18"/>
          <w:szCs w:val="18"/>
        </w:rPr>
        <w:t>University Center, Room 233</w:t>
      </w:r>
    </w:p>
    <w:p w14:paraId="165F423A" w14:textId="77777777" w:rsidR="000E0600" w:rsidRPr="000E0600" w:rsidRDefault="000E0600" w:rsidP="000E06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Dorea Bonneau (EDUC), Chair</w:t>
      </w:r>
    </w:p>
    <w:p w14:paraId="5F7C782C" w14:textId="77777777" w:rsidR="000E0600" w:rsidRPr="000E0600" w:rsidRDefault="000E0600" w:rsidP="000E06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Joanna Hersey (ARTS)</w:t>
      </w:r>
    </w:p>
    <w:p w14:paraId="451B064D" w14:textId="77777777" w:rsidR="000E0600" w:rsidRPr="000E0600" w:rsidRDefault="000E0600" w:rsidP="000E06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Melissa Schaub (LETT)</w:t>
      </w:r>
    </w:p>
    <w:p w14:paraId="38CD9B67" w14:textId="77777777" w:rsidR="000E0600" w:rsidRPr="000E0600" w:rsidRDefault="000E0600" w:rsidP="000E06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Rachel Smith (NSM)</w:t>
      </w:r>
    </w:p>
    <w:p w14:paraId="42CF99AE" w14:textId="77777777" w:rsidR="000E0600" w:rsidRPr="000E0600" w:rsidRDefault="000E0600" w:rsidP="000E06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color w:val="000000"/>
          <w:sz w:val="18"/>
          <w:szCs w:val="18"/>
        </w:rPr>
        <w:t>Shilpa Pai Regan (SBS)</w:t>
      </w:r>
    </w:p>
    <w:p w14:paraId="31478B31" w14:textId="77777777" w:rsidR="000E0600" w:rsidRPr="000E0600" w:rsidRDefault="000E0600" w:rsidP="000E06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Lois Williams (AVC for Enrollment)</w:t>
      </w:r>
    </w:p>
    <w:p w14:paraId="20B3AE9E" w14:textId="77777777" w:rsidR="000E0600" w:rsidRPr="000E0600" w:rsidRDefault="000E0600" w:rsidP="000E06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 xml:space="preserve">Derek Oxendine (Director, Center for Student Success) </w:t>
      </w:r>
    </w:p>
    <w:p w14:paraId="283EB8BE" w14:textId="77777777" w:rsidR="000E0600" w:rsidRPr="000E0600" w:rsidRDefault="000E0600" w:rsidP="000E06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 xml:space="preserve">(SGA representative TBD) </w:t>
      </w:r>
    </w:p>
    <w:p w14:paraId="09422698" w14:textId="77777777" w:rsidR="000E0600" w:rsidRPr="000E0600" w:rsidRDefault="000E0600" w:rsidP="000E0600">
      <w:pPr>
        <w:rPr>
          <w:rFonts w:ascii="Arial" w:hAnsi="Arial" w:cs="Arial"/>
          <w:sz w:val="18"/>
          <w:szCs w:val="18"/>
        </w:rPr>
      </w:pPr>
    </w:p>
    <w:p w14:paraId="49CF5954" w14:textId="77777777" w:rsidR="000E0600" w:rsidRPr="000E0600" w:rsidRDefault="000E0600" w:rsidP="000E060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Call to Order</w:t>
      </w:r>
    </w:p>
    <w:p w14:paraId="32A2C9A0" w14:textId="77777777" w:rsidR="000E0600" w:rsidRPr="000E0600" w:rsidRDefault="000E0600" w:rsidP="000E060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Roll Call</w:t>
      </w:r>
    </w:p>
    <w:p w14:paraId="2A1DDE5C" w14:textId="77777777" w:rsidR="000E0600" w:rsidRPr="000E0600" w:rsidRDefault="000E0600" w:rsidP="000E060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Approval of Minutes: November 14 Meeting</w:t>
      </w:r>
    </w:p>
    <w:p w14:paraId="56E84417" w14:textId="77777777" w:rsidR="000E0600" w:rsidRPr="000E0600" w:rsidRDefault="000E0600" w:rsidP="000E060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Adoption of Agenda</w:t>
      </w:r>
    </w:p>
    <w:p w14:paraId="278909F0" w14:textId="77777777" w:rsidR="000E0600" w:rsidRPr="000E0600" w:rsidRDefault="000E0600" w:rsidP="000E060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Reports:</w:t>
      </w:r>
    </w:p>
    <w:p w14:paraId="4F4EFF06" w14:textId="77777777" w:rsidR="000E0600" w:rsidRPr="000E0600" w:rsidRDefault="000E0600" w:rsidP="000E0600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Lois Williams (AVC for Enrollment)</w:t>
      </w:r>
    </w:p>
    <w:p w14:paraId="249A63EB" w14:textId="77777777" w:rsidR="000E0600" w:rsidRPr="000E0600" w:rsidRDefault="000E0600" w:rsidP="000E0600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 xml:space="preserve">Derek Oxendine (Director, the Center for Student Success) </w:t>
      </w:r>
    </w:p>
    <w:p w14:paraId="51F806F0" w14:textId="77777777" w:rsidR="000E0600" w:rsidRPr="000E0600" w:rsidRDefault="000E0600" w:rsidP="000E060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Old business</w:t>
      </w:r>
    </w:p>
    <w:p w14:paraId="332EF37D" w14:textId="77777777" w:rsidR="000E0600" w:rsidRPr="000E0600" w:rsidRDefault="000E0600" w:rsidP="000E060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New business</w:t>
      </w:r>
    </w:p>
    <w:p w14:paraId="2B3FD522" w14:textId="77777777" w:rsidR="000E0600" w:rsidRPr="000E0600" w:rsidRDefault="000E0600" w:rsidP="000E060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Announcements</w:t>
      </w:r>
    </w:p>
    <w:p w14:paraId="4AE04135" w14:textId="77777777" w:rsidR="000E0600" w:rsidRPr="000E0600" w:rsidRDefault="000E0600" w:rsidP="000E060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Next Meeting: February 13</w:t>
      </w:r>
    </w:p>
    <w:p w14:paraId="18326F83" w14:textId="77777777" w:rsidR="000E0600" w:rsidRPr="000E0600" w:rsidRDefault="000E0600" w:rsidP="000E060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E0600">
        <w:rPr>
          <w:rFonts w:ascii="Arial" w:hAnsi="Arial" w:cs="Arial"/>
          <w:sz w:val="18"/>
          <w:szCs w:val="18"/>
        </w:rPr>
        <w:t>Adjournment</w:t>
      </w:r>
    </w:p>
    <w:p w14:paraId="61ECC596" w14:textId="77777777" w:rsidR="000E0600" w:rsidRDefault="000E0600" w:rsidP="00F62E5A"/>
    <w:p w14:paraId="5364F2E4" w14:textId="77777777" w:rsidR="000E0600" w:rsidRDefault="00241B0C" w:rsidP="00F62E5A">
      <w:r>
        <w:pict w14:anchorId="42AA959B">
          <v:rect id="_x0000_i1025" style="width:0;height:1.5pt" o:hralign="center" o:hrstd="t" o:hr="t" fillcolor="#a0a0a0" stroked="f"/>
        </w:pict>
      </w:r>
    </w:p>
    <w:p w14:paraId="62C70824" w14:textId="77777777" w:rsidR="00F62E5A" w:rsidRDefault="00F62E5A" w:rsidP="00F62E5A">
      <w:r>
        <w:t>Committee reports:</w:t>
      </w:r>
    </w:p>
    <w:p w14:paraId="08903BD3" w14:textId="77777777" w:rsidR="0028571B" w:rsidRDefault="00F62E5A" w:rsidP="001A120F">
      <w:pPr>
        <w:pStyle w:val="ListParagraph"/>
        <w:numPr>
          <w:ilvl w:val="0"/>
          <w:numId w:val="4"/>
        </w:numPr>
      </w:pPr>
      <w:r>
        <w:t xml:space="preserve">Admissions </w:t>
      </w:r>
    </w:p>
    <w:p w14:paraId="2053D2F7" w14:textId="77777777" w:rsidR="0028571B" w:rsidRDefault="00F62E5A" w:rsidP="009B2430">
      <w:pPr>
        <w:pStyle w:val="ListParagraph"/>
        <w:numPr>
          <w:ilvl w:val="1"/>
          <w:numId w:val="1"/>
        </w:numPr>
      </w:pPr>
      <w:r>
        <w:t>Gave spring 2019 numbers</w:t>
      </w:r>
      <w:r w:rsidR="003D3F90">
        <w:t xml:space="preserve"> (6694 registered as of 1/9/19 a.m.)</w:t>
      </w:r>
    </w:p>
    <w:p w14:paraId="4AD101E1" w14:textId="77777777" w:rsidR="00F62E5A" w:rsidRDefault="00F62E5A" w:rsidP="00696984">
      <w:pPr>
        <w:pStyle w:val="ListParagraph"/>
        <w:numPr>
          <w:ilvl w:val="1"/>
          <w:numId w:val="1"/>
        </w:numPr>
      </w:pPr>
      <w:r>
        <w:t>Fall 2019 numbers</w:t>
      </w:r>
      <w:r w:rsidR="0028571B">
        <w:t xml:space="preserve"> (freshman and transfer)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890"/>
        <w:gridCol w:w="900"/>
        <w:gridCol w:w="900"/>
        <w:gridCol w:w="1080"/>
      </w:tblGrid>
      <w:tr w:rsidR="0028571B" w14:paraId="705B593A" w14:textId="77777777" w:rsidTr="0028571B">
        <w:tc>
          <w:tcPr>
            <w:tcW w:w="1890" w:type="dxa"/>
          </w:tcPr>
          <w:p w14:paraId="4F41FEC3" w14:textId="77777777" w:rsidR="0028571B" w:rsidRDefault="0028571B" w:rsidP="0028571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D75981" w14:textId="77777777" w:rsidR="0028571B" w:rsidRDefault="0028571B" w:rsidP="00285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2019</w:t>
            </w:r>
          </w:p>
        </w:tc>
        <w:tc>
          <w:tcPr>
            <w:tcW w:w="900" w:type="dxa"/>
          </w:tcPr>
          <w:p w14:paraId="2D917B76" w14:textId="77777777" w:rsidR="0028571B" w:rsidRDefault="0028571B" w:rsidP="00285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2018</w:t>
            </w:r>
          </w:p>
        </w:tc>
        <w:tc>
          <w:tcPr>
            <w:tcW w:w="1080" w:type="dxa"/>
          </w:tcPr>
          <w:p w14:paraId="413A304A" w14:textId="77777777" w:rsidR="0028571B" w:rsidRPr="0028571B" w:rsidRDefault="0028571B" w:rsidP="0028571B">
            <w:pPr>
              <w:jc w:val="center"/>
              <w:rPr>
                <w:i/>
                <w:sz w:val="16"/>
                <w:szCs w:val="16"/>
              </w:rPr>
            </w:pPr>
            <w:r w:rsidRPr="0028571B">
              <w:rPr>
                <w:i/>
                <w:sz w:val="16"/>
                <w:szCs w:val="16"/>
              </w:rPr>
              <w:t>% change</w:t>
            </w:r>
          </w:p>
        </w:tc>
      </w:tr>
      <w:tr w:rsidR="0028571B" w14:paraId="60A743ED" w14:textId="77777777" w:rsidTr="0028571B">
        <w:tc>
          <w:tcPr>
            <w:tcW w:w="1890" w:type="dxa"/>
          </w:tcPr>
          <w:p w14:paraId="7B7AF7CF" w14:textId="77777777" w:rsidR="0028571B" w:rsidRDefault="0028571B" w:rsidP="00285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Applications</w:t>
            </w:r>
          </w:p>
        </w:tc>
        <w:tc>
          <w:tcPr>
            <w:tcW w:w="900" w:type="dxa"/>
          </w:tcPr>
          <w:p w14:paraId="3781B636" w14:textId="77777777" w:rsidR="0028571B" w:rsidRDefault="0028571B" w:rsidP="00285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8721</w:t>
            </w:r>
          </w:p>
        </w:tc>
        <w:tc>
          <w:tcPr>
            <w:tcW w:w="900" w:type="dxa"/>
          </w:tcPr>
          <w:p w14:paraId="063812C2" w14:textId="77777777" w:rsidR="0028571B" w:rsidRDefault="0028571B" w:rsidP="00285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</w:t>
            </w:r>
          </w:p>
        </w:tc>
        <w:tc>
          <w:tcPr>
            <w:tcW w:w="1080" w:type="dxa"/>
          </w:tcPr>
          <w:p w14:paraId="3034477D" w14:textId="77777777" w:rsidR="0028571B" w:rsidRPr="0028571B" w:rsidRDefault="0028571B" w:rsidP="0028571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118.1%</w:t>
            </w:r>
          </w:p>
        </w:tc>
      </w:tr>
      <w:tr w:rsidR="0028571B" w14:paraId="078045B3" w14:textId="77777777" w:rsidTr="0028571B">
        <w:tc>
          <w:tcPr>
            <w:tcW w:w="1890" w:type="dxa"/>
          </w:tcPr>
          <w:p w14:paraId="0BE5B9CF" w14:textId="77777777" w:rsidR="0028571B" w:rsidRDefault="0028571B" w:rsidP="00285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Admits</w:t>
            </w:r>
          </w:p>
        </w:tc>
        <w:tc>
          <w:tcPr>
            <w:tcW w:w="900" w:type="dxa"/>
          </w:tcPr>
          <w:p w14:paraId="07160475" w14:textId="77777777" w:rsidR="0028571B" w:rsidRDefault="0028571B" w:rsidP="00285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900" w:type="dxa"/>
          </w:tcPr>
          <w:p w14:paraId="72B5B034" w14:textId="77777777" w:rsidR="0028571B" w:rsidRDefault="0028571B" w:rsidP="00285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1080" w:type="dxa"/>
          </w:tcPr>
          <w:p w14:paraId="3F35A178" w14:textId="77777777" w:rsidR="0028571B" w:rsidRPr="0028571B" w:rsidRDefault="0028571B" w:rsidP="0028571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111%</w:t>
            </w:r>
          </w:p>
        </w:tc>
      </w:tr>
      <w:tr w:rsidR="0028571B" w14:paraId="2E3B5BAC" w14:textId="77777777" w:rsidTr="0028571B">
        <w:tc>
          <w:tcPr>
            <w:tcW w:w="1890" w:type="dxa"/>
          </w:tcPr>
          <w:p w14:paraId="5EFE93FB" w14:textId="77777777" w:rsidR="0028571B" w:rsidRDefault="0028571B" w:rsidP="00285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Enrollment Confirmed</w:t>
            </w:r>
          </w:p>
        </w:tc>
        <w:tc>
          <w:tcPr>
            <w:tcW w:w="900" w:type="dxa"/>
          </w:tcPr>
          <w:p w14:paraId="677FE79D" w14:textId="77777777" w:rsidR="0028571B" w:rsidRDefault="0028571B" w:rsidP="00285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900" w:type="dxa"/>
          </w:tcPr>
          <w:p w14:paraId="30E54D4D" w14:textId="77777777" w:rsidR="0028571B" w:rsidRDefault="0028571B" w:rsidP="00285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080" w:type="dxa"/>
          </w:tcPr>
          <w:p w14:paraId="67D33F96" w14:textId="77777777" w:rsidR="0028571B" w:rsidRPr="0028571B" w:rsidRDefault="0028571B" w:rsidP="0028571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132.8%</w:t>
            </w:r>
          </w:p>
        </w:tc>
      </w:tr>
    </w:tbl>
    <w:p w14:paraId="3638AAD4" w14:textId="77777777" w:rsidR="0028571B" w:rsidRDefault="00F62E5A" w:rsidP="001A120F">
      <w:pPr>
        <w:pStyle w:val="ListParagraph"/>
        <w:numPr>
          <w:ilvl w:val="0"/>
          <w:numId w:val="3"/>
        </w:numPr>
      </w:pPr>
      <w:r>
        <w:t>A question posed:  Will we move application deadline up?</w:t>
      </w:r>
    </w:p>
    <w:p w14:paraId="36FE5C96" w14:textId="77777777" w:rsidR="0028571B" w:rsidRDefault="003D3F90" w:rsidP="003D3F90">
      <w:pPr>
        <w:pStyle w:val="ListParagraph"/>
        <w:numPr>
          <w:ilvl w:val="2"/>
          <w:numId w:val="1"/>
        </w:numPr>
      </w:pPr>
      <w:r>
        <w:t>Reviewing options and will have definitive answer in the very near future</w:t>
      </w:r>
      <w:r w:rsidR="0028571B">
        <w:t xml:space="preserve">.  </w:t>
      </w:r>
    </w:p>
    <w:p w14:paraId="5732AA9A" w14:textId="77777777" w:rsidR="001A120F" w:rsidRDefault="0028571B" w:rsidP="001A120F">
      <w:pPr>
        <w:pStyle w:val="ListParagraph"/>
        <w:numPr>
          <w:ilvl w:val="1"/>
          <w:numId w:val="1"/>
        </w:numPr>
      </w:pPr>
      <w:r>
        <w:t>A</w:t>
      </w:r>
      <w:r w:rsidR="00F62E5A">
        <w:t xml:space="preserve"> concern expressed </w:t>
      </w:r>
      <w:r w:rsidR="001A120F">
        <w:t xml:space="preserve">regarding enrollment growth is the need for </w:t>
      </w:r>
      <w:r w:rsidR="00F62E5A">
        <w:t>faculty lines, st</w:t>
      </w:r>
      <w:r w:rsidR="001A120F">
        <w:t xml:space="preserve">udent support services, etc. </w:t>
      </w:r>
      <w:r w:rsidR="00F62E5A">
        <w:t>NC</w:t>
      </w:r>
      <w:r w:rsidR="001A120F">
        <w:t xml:space="preserve"> Promise </w:t>
      </w:r>
      <w:r w:rsidR="00F62E5A">
        <w:t>Taskforce was the committee vehicle that was used to re</w:t>
      </w:r>
      <w:r w:rsidR="001A120F">
        <w:t>lay this information last academic year.</w:t>
      </w:r>
    </w:p>
    <w:p w14:paraId="4DC7B40E" w14:textId="77777777" w:rsidR="001A120F" w:rsidRDefault="00F62E5A" w:rsidP="00F62E5A">
      <w:pPr>
        <w:pStyle w:val="ListParagraph"/>
        <w:numPr>
          <w:ilvl w:val="0"/>
          <w:numId w:val="4"/>
        </w:numPr>
      </w:pPr>
      <w:r>
        <w:t>CSS</w:t>
      </w:r>
    </w:p>
    <w:p w14:paraId="01535C53" w14:textId="77777777" w:rsidR="001A120F" w:rsidRDefault="00F62E5A" w:rsidP="00BF589A">
      <w:pPr>
        <w:pStyle w:val="ListParagraph"/>
        <w:numPr>
          <w:ilvl w:val="1"/>
          <w:numId w:val="4"/>
        </w:numPr>
      </w:pPr>
      <w:r>
        <w:t>Will present fall report at the next EMS meeting.</w:t>
      </w:r>
    </w:p>
    <w:p w14:paraId="76098A74" w14:textId="77777777" w:rsidR="001A120F" w:rsidRDefault="00F62E5A" w:rsidP="00A57CAE">
      <w:pPr>
        <w:pStyle w:val="ListParagraph"/>
        <w:numPr>
          <w:ilvl w:val="1"/>
          <w:numId w:val="4"/>
        </w:numPr>
      </w:pPr>
      <w:r>
        <w:t>Readmits 104 on Monday’s Enrollment Report.</w:t>
      </w:r>
    </w:p>
    <w:p w14:paraId="67118E15" w14:textId="77777777" w:rsidR="001A120F" w:rsidRDefault="00F62E5A" w:rsidP="006D3F13">
      <w:pPr>
        <w:pStyle w:val="ListParagraph"/>
        <w:numPr>
          <w:ilvl w:val="1"/>
          <w:numId w:val="4"/>
        </w:numPr>
      </w:pPr>
      <w:r>
        <w:t>Readmits 70 for next fall.  We did not have any at this time last year.</w:t>
      </w:r>
    </w:p>
    <w:p w14:paraId="2784B072" w14:textId="77777777" w:rsidR="001A120F" w:rsidRDefault="00F62E5A" w:rsidP="00A20611">
      <w:pPr>
        <w:pStyle w:val="ListParagraph"/>
        <w:numPr>
          <w:ilvl w:val="1"/>
          <w:numId w:val="4"/>
        </w:numPr>
      </w:pPr>
      <w:r>
        <w:lastRenderedPageBreak/>
        <w:t xml:space="preserve">Christina Reeves, Registrar, and Derek Oxendine are </w:t>
      </w:r>
      <w:r w:rsidR="001A120F">
        <w:t>researching a</w:t>
      </w:r>
      <w:r>
        <w:t xml:space="preserve">cademic planning modules.  EAB is a product that we are evaluating as well as uAchieve.  </w:t>
      </w:r>
    </w:p>
    <w:p w14:paraId="2871BFB6" w14:textId="77777777" w:rsidR="003D3F90" w:rsidRDefault="001A120F" w:rsidP="00F81BF7">
      <w:pPr>
        <w:pStyle w:val="ListParagraph"/>
        <w:numPr>
          <w:ilvl w:val="1"/>
          <w:numId w:val="4"/>
        </w:numPr>
      </w:pPr>
      <w:r>
        <w:t xml:space="preserve">Natricia Drake, Enrollment Business Analyst, is working with the College of Health Sciences to build that academic structure in Banner </w:t>
      </w:r>
      <w:r w:rsidR="00F62E5A">
        <w:t>and</w:t>
      </w:r>
      <w:r>
        <w:t xml:space="preserve"> she is working with Beth Holder and Derek Oxendine from </w:t>
      </w:r>
      <w:r w:rsidR="00F62E5A">
        <w:t xml:space="preserve">University College </w:t>
      </w:r>
      <w:r>
        <w:t>to build that structure into B</w:t>
      </w:r>
      <w:r w:rsidR="00F62E5A">
        <w:t xml:space="preserve">anner.  </w:t>
      </w:r>
    </w:p>
    <w:p w14:paraId="2ED468BC" w14:textId="77777777" w:rsidR="001A120F" w:rsidRDefault="00F62E5A" w:rsidP="003D3F90">
      <w:pPr>
        <w:pStyle w:val="ListParagraph"/>
        <w:numPr>
          <w:ilvl w:val="2"/>
          <w:numId w:val="4"/>
        </w:numPr>
      </w:pPr>
      <w:r>
        <w:t>Would like to change undecided to undeclared.  Derek will follow-up with Curriculum chair to confirm that a decision by EMS to change from undecided to undeclared can stand without going through any other committee.</w:t>
      </w:r>
      <w:r w:rsidR="001A120F">
        <w:t xml:space="preserve"> </w:t>
      </w:r>
    </w:p>
    <w:p w14:paraId="25C2AFF1" w14:textId="77777777" w:rsidR="001A120F" w:rsidRDefault="00BD3F97" w:rsidP="00F62E5A">
      <w:pPr>
        <w:pStyle w:val="ListParagraph"/>
        <w:numPr>
          <w:ilvl w:val="1"/>
          <w:numId w:val="4"/>
        </w:numPr>
      </w:pPr>
      <w:r>
        <w:t>New g</w:t>
      </w:r>
      <w:r w:rsidR="00F62E5A">
        <w:t xml:space="preserve">rade replacement and Academic Standing </w:t>
      </w:r>
      <w:r>
        <w:t xml:space="preserve">policies </w:t>
      </w:r>
      <w:r w:rsidR="00F62E5A">
        <w:t>will go into effect next academic year.</w:t>
      </w:r>
    </w:p>
    <w:p w14:paraId="38E47A81" w14:textId="77777777" w:rsidR="001A120F" w:rsidRDefault="001A120F" w:rsidP="00882DE0">
      <w:pPr>
        <w:pStyle w:val="ListParagraph"/>
        <w:numPr>
          <w:ilvl w:val="0"/>
          <w:numId w:val="4"/>
        </w:numPr>
      </w:pPr>
      <w:r>
        <w:t xml:space="preserve">University College – </w:t>
      </w:r>
      <w:r w:rsidR="00F62E5A">
        <w:t>Beth</w:t>
      </w:r>
      <w:r>
        <w:t xml:space="preserve"> Holder</w:t>
      </w:r>
    </w:p>
    <w:p w14:paraId="303C8B6B" w14:textId="77777777" w:rsidR="001A120F" w:rsidRDefault="00F62E5A" w:rsidP="00BA286C">
      <w:pPr>
        <w:pStyle w:val="ListParagraph"/>
        <w:numPr>
          <w:ilvl w:val="1"/>
          <w:numId w:val="4"/>
        </w:numPr>
      </w:pPr>
      <w:r>
        <w:t>Ready to roll out University Faculty status.</w:t>
      </w:r>
    </w:p>
    <w:p w14:paraId="1DBD5892" w14:textId="77777777" w:rsidR="001A120F" w:rsidRDefault="00F62E5A" w:rsidP="0062662F">
      <w:pPr>
        <w:pStyle w:val="ListParagraph"/>
        <w:numPr>
          <w:ilvl w:val="1"/>
          <w:numId w:val="4"/>
        </w:numPr>
      </w:pPr>
      <w:r>
        <w:t xml:space="preserve">University College Faculty Council criteria were developed, which closely mirrors that of the process </w:t>
      </w:r>
      <w:r w:rsidR="003D3F90">
        <w:t xml:space="preserve">of </w:t>
      </w:r>
      <w:r>
        <w:t xml:space="preserve">honors status </w:t>
      </w:r>
      <w:r w:rsidR="003D3F90">
        <w:t xml:space="preserve">and </w:t>
      </w:r>
      <w:r>
        <w:t>graduate status.</w:t>
      </w:r>
    </w:p>
    <w:p w14:paraId="03FBA492" w14:textId="77777777" w:rsidR="000E0600" w:rsidRDefault="001A120F" w:rsidP="00EF1E9C">
      <w:pPr>
        <w:pStyle w:val="ListParagraph"/>
        <w:numPr>
          <w:ilvl w:val="1"/>
          <w:numId w:val="4"/>
        </w:numPr>
      </w:pPr>
      <w:r>
        <w:t>B</w:t>
      </w:r>
      <w:r w:rsidR="00F62E5A">
        <w:t>enefits of UC faculty status are:</w:t>
      </w:r>
    </w:p>
    <w:p w14:paraId="67E52C1C" w14:textId="77777777" w:rsidR="000E0600" w:rsidRDefault="00F62E5A" w:rsidP="00100C6A">
      <w:pPr>
        <w:pStyle w:val="ListParagraph"/>
        <w:numPr>
          <w:ilvl w:val="2"/>
          <w:numId w:val="4"/>
        </w:numPr>
      </w:pPr>
      <w:r>
        <w:t>Access to funds for professional development,</w:t>
      </w:r>
    </w:p>
    <w:p w14:paraId="5DDA1B6A" w14:textId="77777777" w:rsidR="000E0600" w:rsidRDefault="00F62E5A" w:rsidP="00247476">
      <w:pPr>
        <w:pStyle w:val="ListParagraph"/>
        <w:numPr>
          <w:ilvl w:val="2"/>
          <w:numId w:val="4"/>
        </w:numPr>
      </w:pPr>
      <w:r>
        <w:t>Priority to teach UNV 1000,</w:t>
      </w:r>
    </w:p>
    <w:p w14:paraId="135AAB45" w14:textId="77777777" w:rsidR="000E0600" w:rsidRDefault="00F62E5A" w:rsidP="00A74504">
      <w:pPr>
        <w:pStyle w:val="ListParagraph"/>
        <w:numPr>
          <w:ilvl w:val="2"/>
          <w:numId w:val="4"/>
        </w:numPr>
      </w:pPr>
      <w:r>
        <w:t>Dr. Ward has approved increased compensation from $</w:t>
      </w:r>
      <w:r w:rsidR="000E0600">
        <w:t>800 to $1,066 for UNV 1000, and</w:t>
      </w:r>
    </w:p>
    <w:p w14:paraId="18692FEA" w14:textId="77777777" w:rsidR="000E0600" w:rsidRDefault="00F62E5A" w:rsidP="000E0600">
      <w:pPr>
        <w:pStyle w:val="ListParagraph"/>
        <w:numPr>
          <w:ilvl w:val="2"/>
          <w:numId w:val="4"/>
        </w:numPr>
      </w:pPr>
      <w:r>
        <w:t xml:space="preserve">Faculty can teach up to </w:t>
      </w:r>
      <w:r w:rsidR="000E0600">
        <w:t xml:space="preserve">three </w:t>
      </w:r>
      <w:r>
        <w:t>sections with Department Chair approval of UNV 1000</w:t>
      </w:r>
    </w:p>
    <w:p w14:paraId="165FE02E" w14:textId="77777777" w:rsidR="000E0600" w:rsidRDefault="00F62E5A" w:rsidP="00F62E5A">
      <w:pPr>
        <w:pStyle w:val="ListParagraph"/>
        <w:numPr>
          <w:ilvl w:val="0"/>
          <w:numId w:val="6"/>
        </w:numPr>
      </w:pPr>
      <w:r>
        <w:t>Scott Hicks, Center for Teaching and Learning, and Beth Holder, University College, to meet with faculty governance about proposing a faculty mentoring program</w:t>
      </w:r>
      <w:r w:rsidR="000E0600">
        <w:t>, as</w:t>
      </w:r>
      <w:r>
        <w:t xml:space="preserve"> well as opportunity to get faculty input on advising and retention with Coffee Connection a faculty focus group to discuss topics of interest and concern.</w:t>
      </w:r>
    </w:p>
    <w:p w14:paraId="7727F2B7" w14:textId="77777777" w:rsidR="00F62E5A" w:rsidRDefault="000E0600" w:rsidP="00F62E5A">
      <w:pPr>
        <w:pStyle w:val="ListParagraph"/>
        <w:numPr>
          <w:ilvl w:val="0"/>
          <w:numId w:val="6"/>
        </w:numPr>
      </w:pPr>
      <w:r>
        <w:t xml:space="preserve">Beth and </w:t>
      </w:r>
      <w:r w:rsidR="00F62E5A">
        <w:t>Derek are working on strengthening the link between departmental advising and professional advisors aligned to meta-majors.</w:t>
      </w:r>
    </w:p>
    <w:p w14:paraId="5297448D" w14:textId="77777777" w:rsidR="00CB4FDE" w:rsidRDefault="00F62E5A" w:rsidP="00F62E5A">
      <w:r>
        <w:t>Move to adjourn and next meeting February 13, 2019.</w:t>
      </w:r>
    </w:p>
    <w:p w14:paraId="102DA89F" w14:textId="77777777" w:rsidR="000E0600" w:rsidRDefault="000E0600" w:rsidP="00F62E5A"/>
    <w:sectPr w:rsidR="000E0600" w:rsidSect="000E0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EEC"/>
    <w:multiLevelType w:val="hybridMultilevel"/>
    <w:tmpl w:val="6010C2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9A5846"/>
    <w:multiLevelType w:val="hybridMultilevel"/>
    <w:tmpl w:val="709C8E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31CA4"/>
    <w:multiLevelType w:val="hybridMultilevel"/>
    <w:tmpl w:val="72E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E18"/>
    <w:multiLevelType w:val="hybridMultilevel"/>
    <w:tmpl w:val="417CC4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16DF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1038BF"/>
    <w:multiLevelType w:val="hybridMultilevel"/>
    <w:tmpl w:val="5C047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4644"/>
    <w:multiLevelType w:val="hybridMultilevel"/>
    <w:tmpl w:val="AE882C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481634"/>
    <w:multiLevelType w:val="hybridMultilevel"/>
    <w:tmpl w:val="8C66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5A"/>
    <w:rsid w:val="000E0600"/>
    <w:rsid w:val="001A120F"/>
    <w:rsid w:val="00241B0C"/>
    <w:rsid w:val="0028571B"/>
    <w:rsid w:val="003D3F90"/>
    <w:rsid w:val="00BD3F97"/>
    <w:rsid w:val="00CB4FDE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3357A"/>
  <w15:chartTrackingRefBased/>
  <w15:docId w15:val="{27B2B8AF-1571-4ED4-9207-C550D848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5A"/>
    <w:pPr>
      <w:ind w:left="720"/>
      <w:contextualSpacing/>
    </w:pPr>
  </w:style>
  <w:style w:type="table" w:styleId="TableGrid">
    <w:name w:val="Table Grid"/>
    <w:basedOn w:val="TableNormal"/>
    <w:uiPriority w:val="39"/>
    <w:rsid w:val="0028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Williams</dc:creator>
  <cp:keywords/>
  <dc:description/>
  <cp:lastModifiedBy>Dorea Bonneau</cp:lastModifiedBy>
  <cp:revision>2</cp:revision>
  <dcterms:created xsi:type="dcterms:W3CDTF">2019-02-11T05:25:00Z</dcterms:created>
  <dcterms:modified xsi:type="dcterms:W3CDTF">2019-02-11T05:25:00Z</dcterms:modified>
</cp:coreProperties>
</file>