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37" w:type="dxa"/>
        <w:tblCellMar>
          <w:left w:w="0" w:type="dxa"/>
          <w:right w:w="0" w:type="dxa"/>
        </w:tblCellMar>
        <w:tblLook w:val="04A0" w:firstRow="1" w:lastRow="0" w:firstColumn="1" w:lastColumn="0" w:noHBand="0" w:noVBand="1"/>
      </w:tblPr>
      <w:tblGrid>
        <w:gridCol w:w="12437"/>
      </w:tblGrid>
      <w:tr w:rsidR="008A15A1" w14:paraId="2A4824DF" w14:textId="790C3057" w:rsidTr="008A15A1">
        <w:tc>
          <w:tcPr>
            <w:tcW w:w="12437" w:type="dxa"/>
            <w:shd w:val="clear" w:color="auto" w:fill="auto"/>
          </w:tcPr>
          <w:p w14:paraId="63A77BFB" w14:textId="5F7D4DFB" w:rsidR="008A15A1" w:rsidRDefault="008D2CB2" w:rsidP="00F328ED">
            <w:pPr>
              <w:rPr>
                <w:noProof/>
              </w:rPr>
            </w:pPr>
            <w:bookmarkStart w:id="0" w:name="_GoBack"/>
            <w:bookmarkEnd w:id="0"/>
            <w:r>
              <w:rPr>
                <w:noProof/>
              </w:rPr>
              <w:drawing>
                <wp:inline distT="0" distB="0" distL="0" distR="0" wp14:anchorId="0FEA3860" wp14:editId="1D6BFC39">
                  <wp:extent cx="7773035"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3035" cy="1377950"/>
                          </a:xfrm>
                          <a:prstGeom prst="rect">
                            <a:avLst/>
                          </a:prstGeom>
                          <a:noFill/>
                        </pic:spPr>
                      </pic:pic>
                    </a:graphicData>
                  </a:graphic>
                </wp:inline>
              </w:drawing>
            </w:r>
          </w:p>
        </w:tc>
      </w:tr>
      <w:tr w:rsidR="008A15A1" w14:paraId="50E29C14" w14:textId="2B4C281F" w:rsidTr="008A15A1">
        <w:tc>
          <w:tcPr>
            <w:tcW w:w="12437" w:type="dxa"/>
            <w:shd w:val="clear" w:color="auto" w:fill="auto"/>
            <w:tcMar>
              <w:left w:w="1080" w:type="dxa"/>
              <w:right w:w="1080" w:type="dxa"/>
            </w:tcMar>
          </w:tcPr>
          <w:p w14:paraId="321F4CFF" w14:textId="77777777" w:rsidR="008A15A1" w:rsidRPr="00CA7B30" w:rsidRDefault="008A15A1" w:rsidP="00291E45">
            <w:pPr>
              <w:spacing w:after="0"/>
            </w:pPr>
          </w:p>
          <w:p w14:paraId="0E1EB610" w14:textId="77777777" w:rsidR="00EC61E6" w:rsidRPr="00CA7B30" w:rsidRDefault="00EC61E6" w:rsidP="00A23D91">
            <w:pPr>
              <w:tabs>
                <w:tab w:val="left" w:pos="90"/>
              </w:tabs>
              <w:spacing w:after="0"/>
              <w:ind w:left="-990"/>
            </w:pPr>
          </w:p>
          <w:p w14:paraId="3409B6F4" w14:textId="77777777" w:rsidR="00D156F8" w:rsidRPr="00EC61E6" w:rsidRDefault="00EC61E6" w:rsidP="00D156F8">
            <w:pPr>
              <w:tabs>
                <w:tab w:val="left" w:pos="90"/>
              </w:tabs>
              <w:spacing w:after="0"/>
              <w:ind w:left="-990"/>
              <w:rPr>
                <w:color w:val="333333" w:themeColor="accent3"/>
              </w:rPr>
            </w:pPr>
            <w:r w:rsidRPr="00CA7B30">
              <w:t>You may have heard recently that Anthem Blue Cross and Blue Shield was the target of an external cy</w:t>
            </w:r>
            <w:r w:rsidR="00E011E2" w:rsidRPr="00CA7B30">
              <w:t>ber-attack during December 2014</w:t>
            </w:r>
            <w:r w:rsidRPr="00CA7B30">
              <w:t xml:space="preserve"> and January 2015. </w:t>
            </w:r>
            <w:r w:rsidR="00D156F8" w:rsidRPr="00EC61E6">
              <w:rPr>
                <w:b/>
                <w:color w:val="333333" w:themeColor="accent3"/>
              </w:rPr>
              <w:t>Systems at Blue Cross and Blue Shield of North Carolina (BCBSNC), which serves as the third party administrator for the State Health Plan, were not breached</w:t>
            </w:r>
            <w:r w:rsidR="00D156F8">
              <w:rPr>
                <w:color w:val="333333" w:themeColor="accent3"/>
              </w:rPr>
              <w:t>. However, a</w:t>
            </w:r>
            <w:r w:rsidR="00AE1017" w:rsidRPr="00CA7B30">
              <w:t xml:space="preserve">pproximately 22,000 former and current </w:t>
            </w:r>
            <w:r w:rsidR="0076795E" w:rsidRPr="00CA7B30">
              <w:t xml:space="preserve">State Health </w:t>
            </w:r>
            <w:r w:rsidR="00AE1017" w:rsidRPr="00CA7B30">
              <w:t xml:space="preserve">Plan members </w:t>
            </w:r>
            <w:r w:rsidR="00D156F8">
              <w:t xml:space="preserve">who live in or receive care in other Anthem states </w:t>
            </w:r>
            <w:r w:rsidR="00AE1017" w:rsidRPr="00CA7B30">
              <w:t>have been impacted.</w:t>
            </w:r>
            <w:r w:rsidR="0076795E" w:rsidRPr="00CA7B30">
              <w:t xml:space="preserve"> </w:t>
            </w:r>
            <w:r w:rsidR="00D156F8" w:rsidRPr="00EC61E6">
              <w:rPr>
                <w:color w:val="333333" w:themeColor="accent3"/>
              </w:rPr>
              <w:t>Anthem operates in the following states: California, Colorado, Connecticut, Georgia, Indiana, Kentucky, Maine, Missouri, Nevada, New Hampshire, New York, Ohio, Virginia and Wisconsin.</w:t>
            </w:r>
          </w:p>
          <w:p w14:paraId="7122888A" w14:textId="77777777" w:rsidR="0076795E" w:rsidRPr="00CA7B30" w:rsidRDefault="0076795E" w:rsidP="0076795E">
            <w:pPr>
              <w:tabs>
                <w:tab w:val="left" w:pos="90"/>
              </w:tabs>
              <w:spacing w:after="0"/>
              <w:ind w:left="-990"/>
              <w:rPr>
                <w:b/>
              </w:rPr>
            </w:pPr>
          </w:p>
          <w:p w14:paraId="3060A67A" w14:textId="54DD0BFE" w:rsidR="00EC61E6" w:rsidRPr="00CA7B30" w:rsidRDefault="0076795E" w:rsidP="0076795E">
            <w:pPr>
              <w:tabs>
                <w:tab w:val="left" w:pos="90"/>
              </w:tabs>
              <w:spacing w:after="0"/>
              <w:ind w:left="-990"/>
            </w:pPr>
            <w:r w:rsidRPr="00CA7B30">
              <w:t xml:space="preserve">If you have been impacted, you </w:t>
            </w:r>
            <w:r w:rsidR="00EC61E6" w:rsidRPr="00CA7B30">
              <w:t xml:space="preserve">will receive an official notice directly from Anthem through the U.S. Postal Service in the next few weeks. The notice will include an offer for two years of free credit monitoring/identity protection services. As additional information becomes available, it will be posted </w:t>
            </w:r>
            <w:r w:rsidR="001519BD" w:rsidRPr="00CA7B30">
              <w:t xml:space="preserve">on </w:t>
            </w:r>
            <w:hyperlink r:id="rId7" w:history="1">
              <w:r w:rsidR="001519BD" w:rsidRPr="00023749">
                <w:rPr>
                  <w:rStyle w:val="Hyperlink"/>
                </w:rPr>
                <w:t>www.anthemfacts.com</w:t>
              </w:r>
            </w:hyperlink>
            <w:r w:rsidR="00EC61E6" w:rsidRPr="00CA7B30">
              <w:t>.</w:t>
            </w:r>
          </w:p>
          <w:p w14:paraId="06DF6FCA" w14:textId="77777777" w:rsidR="00EC61E6" w:rsidRPr="00CA7B30" w:rsidRDefault="00EC61E6" w:rsidP="00EC61E6">
            <w:pPr>
              <w:tabs>
                <w:tab w:val="left" w:pos="90"/>
              </w:tabs>
              <w:spacing w:after="0"/>
              <w:ind w:left="-990"/>
              <w:rPr>
                <w:b/>
              </w:rPr>
            </w:pPr>
          </w:p>
          <w:p w14:paraId="006BE4F0" w14:textId="77777777" w:rsidR="0076795E" w:rsidRPr="00CA7B30" w:rsidRDefault="0076795E" w:rsidP="00EC61E6">
            <w:pPr>
              <w:tabs>
                <w:tab w:val="left" w:pos="90"/>
              </w:tabs>
              <w:spacing w:after="0"/>
              <w:ind w:left="-990"/>
              <w:rPr>
                <w:b/>
              </w:rPr>
            </w:pPr>
            <w:r w:rsidRPr="00CA7B30">
              <w:rPr>
                <w:b/>
              </w:rPr>
              <w:t>Information Accessed</w:t>
            </w:r>
          </w:p>
          <w:p w14:paraId="7FE955F0" w14:textId="1C19D2BD" w:rsidR="0076795E" w:rsidRPr="00CA7B30" w:rsidRDefault="0076795E" w:rsidP="00EC61E6">
            <w:pPr>
              <w:tabs>
                <w:tab w:val="left" w:pos="90"/>
              </w:tabs>
              <w:spacing w:after="0"/>
              <w:ind w:left="-990"/>
            </w:pPr>
            <w:r w:rsidRPr="00CA7B30">
              <w:t>The information accessed may have included names, dates of birth, Social Security numbers, health care ID numbers, h</w:t>
            </w:r>
            <w:r w:rsidR="00023749">
              <w:t xml:space="preserve">ome addresses, email addresses and </w:t>
            </w:r>
            <w:r w:rsidRPr="00CA7B30">
              <w:t>employment information, including income data. There is no reason to believe credit card or banking information was compromised, nor is there evidence at this time that medical information such as claims, test results, or diagnostic codes, was targeted or obtained.</w:t>
            </w:r>
          </w:p>
          <w:p w14:paraId="278DA5F2" w14:textId="77777777" w:rsidR="0076795E" w:rsidRPr="00CA7B30" w:rsidRDefault="0076795E" w:rsidP="00EC61E6">
            <w:pPr>
              <w:tabs>
                <w:tab w:val="left" w:pos="90"/>
              </w:tabs>
              <w:spacing w:after="0"/>
              <w:ind w:left="-990"/>
            </w:pPr>
          </w:p>
          <w:p w14:paraId="44D04737" w14:textId="77777777" w:rsidR="00EC61E6" w:rsidRPr="00CA7B30" w:rsidRDefault="00EC61E6" w:rsidP="00EC61E6">
            <w:pPr>
              <w:tabs>
                <w:tab w:val="left" w:pos="90"/>
              </w:tabs>
              <w:spacing w:after="0"/>
              <w:ind w:left="-990"/>
              <w:rPr>
                <w:b/>
              </w:rPr>
            </w:pPr>
            <w:r w:rsidRPr="00CA7B30">
              <w:rPr>
                <w:b/>
              </w:rPr>
              <w:t>Fraudulent E-mail Circulating</w:t>
            </w:r>
          </w:p>
          <w:p w14:paraId="68B2152F" w14:textId="1CED8CC7" w:rsidR="00E011E2" w:rsidRPr="00CA7B30" w:rsidRDefault="00E011E2" w:rsidP="00E011E2">
            <w:pPr>
              <w:tabs>
                <w:tab w:val="left" w:pos="90"/>
              </w:tabs>
              <w:spacing w:after="0"/>
              <w:ind w:left="-990"/>
            </w:pPr>
            <w:r w:rsidRPr="00CA7B30">
              <w:t>You should be aware of scam email campaigns targeting cur</w:t>
            </w:r>
            <w:r w:rsidR="00CA7B30">
              <w:t xml:space="preserve">rent and former Anthem members. </w:t>
            </w:r>
            <w:r w:rsidRPr="00CA7B30">
              <w:t>These scams, designed to capture personal information (known as “phishing”), are designed to appear as if they are from Anthem and the emails include a “click here” link for credit monitoring. These emails are NOT from Anthem.</w:t>
            </w:r>
          </w:p>
          <w:p w14:paraId="12E39042" w14:textId="6607B953" w:rsidR="00E011E2" w:rsidRPr="00CA7B30" w:rsidRDefault="0076795E" w:rsidP="00E011E2">
            <w:pPr>
              <w:pStyle w:val="NormalWeb"/>
              <w:numPr>
                <w:ilvl w:val="0"/>
                <w:numId w:val="5"/>
              </w:numPr>
              <w:shd w:val="clear" w:color="auto" w:fill="FFFFFF"/>
              <w:spacing w:before="0" w:after="150" w:line="300" w:lineRule="atLeast"/>
            </w:pPr>
            <w:r w:rsidRPr="00CA7B30">
              <w:t xml:space="preserve">Do not </w:t>
            </w:r>
            <w:r w:rsidR="00E011E2" w:rsidRPr="00CA7B30">
              <w:t>reply to the email or reach out to the senders in any way.</w:t>
            </w:r>
          </w:p>
          <w:p w14:paraId="3F21E1D5" w14:textId="0E4C4FCA" w:rsidR="00E011E2" w:rsidRPr="00CA7B30" w:rsidRDefault="0076795E" w:rsidP="00E011E2">
            <w:pPr>
              <w:pStyle w:val="NormalWeb"/>
              <w:numPr>
                <w:ilvl w:val="0"/>
                <w:numId w:val="5"/>
              </w:numPr>
              <w:shd w:val="clear" w:color="auto" w:fill="FFFFFF"/>
              <w:spacing w:before="0" w:after="150" w:line="300" w:lineRule="atLeast"/>
            </w:pPr>
            <w:r w:rsidRPr="00CA7B30">
              <w:t>Do not</w:t>
            </w:r>
            <w:r w:rsidR="00E011E2" w:rsidRPr="00CA7B30">
              <w:t xml:space="preserve"> supply any information on the website that may open, if you have clicked on a link in email.</w:t>
            </w:r>
          </w:p>
          <w:p w14:paraId="11E18884" w14:textId="0DFEE1A4" w:rsidR="00E011E2" w:rsidRPr="00CA7B30" w:rsidRDefault="0076795E" w:rsidP="00E011E2">
            <w:pPr>
              <w:pStyle w:val="NormalWeb"/>
              <w:numPr>
                <w:ilvl w:val="0"/>
                <w:numId w:val="5"/>
              </w:numPr>
              <w:shd w:val="clear" w:color="auto" w:fill="FFFFFF"/>
              <w:spacing w:before="0" w:after="150" w:line="300" w:lineRule="atLeast"/>
            </w:pPr>
            <w:r w:rsidRPr="00CA7B30">
              <w:t>Do not</w:t>
            </w:r>
            <w:r w:rsidR="00E011E2" w:rsidRPr="00CA7B30">
              <w:t xml:space="preserve"> open any attachments that arrive with email.</w:t>
            </w:r>
          </w:p>
          <w:p w14:paraId="143EE528" w14:textId="581F9FF6" w:rsidR="00E011E2" w:rsidRPr="00E011E2" w:rsidRDefault="00E011E2" w:rsidP="00E011E2">
            <w:pPr>
              <w:tabs>
                <w:tab w:val="left" w:pos="90"/>
              </w:tabs>
              <w:spacing w:after="0"/>
              <w:ind w:left="-990"/>
              <w:rPr>
                <w:color w:val="333333" w:themeColor="accent3"/>
              </w:rPr>
            </w:pPr>
            <w:r w:rsidRPr="00CA7B30">
              <w:t>Anthem is not calling members regarding the cyber-attack and is not asking for credit card information or Social Security numbers over the phone. For more guidance on recognizing sc</w:t>
            </w:r>
            <w:r w:rsidR="00CA7B30">
              <w:t xml:space="preserve">am email, please visit the </w:t>
            </w:r>
            <w:hyperlink r:id="rId8" w:history="1">
              <w:r w:rsidR="00CA7B30" w:rsidRPr="00CA7B30">
                <w:rPr>
                  <w:rStyle w:val="Hyperlink"/>
                </w:rPr>
                <w:t>FTC w</w:t>
              </w:r>
              <w:r w:rsidRPr="00CA7B30">
                <w:rPr>
                  <w:rStyle w:val="Hyperlink"/>
                </w:rPr>
                <w:t>ebsite</w:t>
              </w:r>
            </w:hyperlink>
            <w:r w:rsidR="00CA7B30">
              <w:t>.</w:t>
            </w:r>
          </w:p>
          <w:p w14:paraId="0548D09E" w14:textId="52CDF47F" w:rsidR="00EC61E6" w:rsidRDefault="00EC61E6" w:rsidP="00EC61E6">
            <w:pPr>
              <w:tabs>
                <w:tab w:val="left" w:pos="90"/>
              </w:tabs>
              <w:spacing w:after="0"/>
              <w:ind w:left="-990"/>
              <w:rPr>
                <w:color w:val="333333" w:themeColor="accent3"/>
              </w:rPr>
            </w:pPr>
          </w:p>
          <w:p w14:paraId="17205F5C" w14:textId="04962847" w:rsidR="0076795E" w:rsidRPr="00CA7B30" w:rsidRDefault="0076795E" w:rsidP="00EC61E6">
            <w:pPr>
              <w:tabs>
                <w:tab w:val="left" w:pos="90"/>
              </w:tabs>
              <w:spacing w:after="0"/>
              <w:ind w:left="-990"/>
              <w:rPr>
                <w:b/>
              </w:rPr>
            </w:pPr>
            <w:r w:rsidRPr="00CA7B30">
              <w:rPr>
                <w:b/>
              </w:rPr>
              <w:t xml:space="preserve">If Your Data </w:t>
            </w:r>
            <w:r w:rsidR="006C5C16" w:rsidRPr="00CA7B30">
              <w:rPr>
                <w:b/>
              </w:rPr>
              <w:t>Has B</w:t>
            </w:r>
            <w:r w:rsidRPr="00CA7B30">
              <w:rPr>
                <w:b/>
              </w:rPr>
              <w:t>een Breached</w:t>
            </w:r>
          </w:p>
          <w:p w14:paraId="0F93DF32" w14:textId="0A0D90D8" w:rsidR="006C5C16" w:rsidRPr="00CA7B30" w:rsidRDefault="006C5C16" w:rsidP="00EC61E6">
            <w:pPr>
              <w:tabs>
                <w:tab w:val="left" w:pos="90"/>
              </w:tabs>
              <w:spacing w:after="0"/>
              <w:ind w:left="-990"/>
            </w:pPr>
            <w:r w:rsidRPr="00CA7B30">
              <w:t>If you are impacted, you will want to watch for signs of identity theft in the month</w:t>
            </w:r>
            <w:r w:rsidR="00605EB7" w:rsidRPr="00CA7B30">
              <w:t xml:space="preserve">s and years to come. Here are some </w:t>
            </w:r>
            <w:r w:rsidR="00201116">
              <w:t>ways to stay vigilant and protect yourself:</w:t>
            </w:r>
          </w:p>
          <w:p w14:paraId="0EEF539C" w14:textId="07ABD085" w:rsidR="00CA7B30" w:rsidRDefault="00CA7B30" w:rsidP="00CA7B30">
            <w:pPr>
              <w:pStyle w:val="CommentText"/>
              <w:rPr>
                <w:rFonts w:asciiTheme="minorHAnsi" w:hAnsiTheme="minorHAnsi" w:cstheme="minorHAnsi"/>
              </w:rPr>
            </w:pPr>
          </w:p>
          <w:p w14:paraId="6930E68A" w14:textId="77777777" w:rsidR="00CA7B30" w:rsidRPr="00CA7B30" w:rsidRDefault="0076795E" w:rsidP="00CA7B30">
            <w:pPr>
              <w:pStyle w:val="CommentText"/>
              <w:numPr>
                <w:ilvl w:val="0"/>
                <w:numId w:val="6"/>
              </w:numPr>
              <w:rPr>
                <w:rFonts w:asciiTheme="minorHAnsi" w:hAnsiTheme="minorHAnsi" w:cstheme="minorHAnsi"/>
              </w:rPr>
            </w:pPr>
            <w:r w:rsidRPr="00CA7B30">
              <w:rPr>
                <w:rFonts w:asciiTheme="minorHAnsi" w:hAnsiTheme="minorHAnsi" w:cstheme="minorHAnsi"/>
                <w:b/>
              </w:rPr>
              <w:t>Monitor your credit</w:t>
            </w:r>
            <w:r w:rsidRPr="00CA7B30">
              <w:rPr>
                <w:rFonts w:asciiTheme="minorHAnsi" w:hAnsiTheme="minorHAnsi" w:cstheme="minorHAnsi"/>
              </w:rPr>
              <w:t xml:space="preserve">. </w:t>
            </w:r>
            <w:r w:rsidR="00605EB7" w:rsidRPr="00CA7B30">
              <w:rPr>
                <w:rFonts w:asciiTheme="minorHAnsi" w:hAnsiTheme="minorHAnsi" w:cstheme="minorHAnsi"/>
                <w:shd w:val="clear" w:color="auto" w:fill="FFFFFF"/>
              </w:rPr>
              <w:t>Anthem is offering free credit monitoring and identity protection services to all affected customers. These services will keep an eye on your reports for known indicators of identity th</w:t>
            </w:r>
            <w:r w:rsidR="00CA7B30">
              <w:rPr>
                <w:rFonts w:asciiTheme="minorHAnsi" w:hAnsiTheme="minorHAnsi" w:cstheme="minorHAnsi"/>
                <w:shd w:val="clear" w:color="auto" w:fill="FFFFFF"/>
              </w:rPr>
              <w:t>eft and send you alerts</w:t>
            </w:r>
            <w:r w:rsidR="00CA7B30" w:rsidRPr="00CA7B30">
              <w:rPr>
                <w:rFonts w:asciiTheme="minorHAnsi" w:hAnsiTheme="minorHAnsi" w:cstheme="minorHAnsi"/>
                <w:b/>
                <w:bCs/>
              </w:rPr>
              <w:t>.</w:t>
            </w:r>
          </w:p>
          <w:p w14:paraId="1C7484EA" w14:textId="77777777" w:rsidR="00CA7B30" w:rsidRDefault="00605EB7" w:rsidP="00CA7B30">
            <w:pPr>
              <w:pStyle w:val="CommentText"/>
              <w:numPr>
                <w:ilvl w:val="0"/>
                <w:numId w:val="6"/>
              </w:numPr>
              <w:rPr>
                <w:rFonts w:asciiTheme="minorHAnsi" w:hAnsiTheme="minorHAnsi" w:cstheme="minorHAnsi"/>
              </w:rPr>
            </w:pPr>
            <w:r w:rsidRPr="00CA7B30">
              <w:rPr>
                <w:rFonts w:asciiTheme="minorHAnsi" w:hAnsiTheme="minorHAnsi" w:cstheme="minorHAnsi"/>
                <w:b/>
                <w:bCs/>
              </w:rPr>
              <w:t>Sign up for fraud alerts</w:t>
            </w:r>
            <w:r w:rsidRPr="00CA7B30">
              <w:rPr>
                <w:rFonts w:asciiTheme="minorHAnsi" w:hAnsiTheme="minorHAnsi" w:cstheme="minorHAnsi"/>
              </w:rPr>
              <w:t xml:space="preserve">. Contact each of the three major credit bureaus — </w:t>
            </w:r>
            <w:hyperlink r:id="rId9" w:tgtFrame="_self" w:history="1">
              <w:r w:rsidRPr="00605EB7">
                <w:rPr>
                  <w:rStyle w:val="Hyperlink"/>
                </w:rPr>
                <w:t>Experian</w:t>
              </w:r>
            </w:hyperlink>
            <w:r w:rsidRPr="00605EB7">
              <w:rPr>
                <w:rStyle w:val="Hyperlink"/>
              </w:rPr>
              <w:t>,</w:t>
            </w:r>
            <w:r w:rsidRPr="00CA7B30">
              <w:rPr>
                <w:rFonts w:asciiTheme="minorHAnsi" w:hAnsiTheme="minorHAnsi" w:cstheme="minorHAnsi"/>
                <w:color w:val="424858"/>
              </w:rPr>
              <w:t xml:space="preserve"> </w:t>
            </w:r>
            <w:hyperlink r:id="rId10" w:history="1">
              <w:r w:rsidRPr="00CA7B30">
                <w:rPr>
                  <w:rStyle w:val="Hyperlink"/>
                  <w:rFonts w:asciiTheme="minorHAnsi" w:hAnsiTheme="minorHAnsi" w:cstheme="minorHAnsi"/>
                </w:rPr>
                <w:t>TransUnion</w:t>
              </w:r>
            </w:hyperlink>
            <w:r w:rsidRPr="00CA7B30">
              <w:rPr>
                <w:rFonts w:asciiTheme="minorHAnsi" w:hAnsiTheme="minorHAnsi" w:cstheme="minorHAnsi"/>
                <w:color w:val="424858"/>
              </w:rPr>
              <w:t xml:space="preserve"> </w:t>
            </w:r>
            <w:r w:rsidRPr="00CA7B30">
              <w:rPr>
                <w:rFonts w:asciiTheme="minorHAnsi" w:hAnsiTheme="minorHAnsi" w:cstheme="minorHAnsi"/>
              </w:rPr>
              <w:t>and</w:t>
            </w:r>
            <w:r w:rsidRPr="00CA7B30">
              <w:rPr>
                <w:rStyle w:val="apple-converted-space"/>
                <w:rFonts w:asciiTheme="minorHAnsi" w:hAnsiTheme="minorHAnsi" w:cstheme="minorHAnsi"/>
                <w:color w:val="424858"/>
              </w:rPr>
              <w:t> </w:t>
            </w:r>
            <w:hyperlink r:id="rId11" w:tgtFrame="_self" w:history="1">
              <w:r w:rsidRPr="00605EB7">
                <w:rPr>
                  <w:rStyle w:val="Hyperlink"/>
                </w:rPr>
                <w:t>Equifax</w:t>
              </w:r>
            </w:hyperlink>
            <w:r>
              <w:rPr>
                <w:rStyle w:val="Hyperlink"/>
              </w:rPr>
              <w:t xml:space="preserve"> </w:t>
            </w:r>
            <w:r w:rsidRPr="00CA7B30">
              <w:rPr>
                <w:rFonts w:asciiTheme="minorHAnsi" w:hAnsiTheme="minorHAnsi" w:cstheme="minorHAnsi"/>
              </w:rPr>
              <w:t xml:space="preserve">— and ask that a fraud alert be placed on your file. </w:t>
            </w:r>
          </w:p>
          <w:p w14:paraId="06D03C26" w14:textId="656B29D9" w:rsidR="00CA7B30" w:rsidRDefault="00CA7B30" w:rsidP="00CA7B30">
            <w:pPr>
              <w:pStyle w:val="CommentText"/>
              <w:numPr>
                <w:ilvl w:val="0"/>
                <w:numId w:val="6"/>
              </w:numPr>
              <w:rPr>
                <w:rFonts w:asciiTheme="minorHAnsi" w:hAnsiTheme="minorHAnsi" w:cstheme="minorHAnsi"/>
              </w:rPr>
            </w:pPr>
            <w:r w:rsidRPr="00CA7B30">
              <w:rPr>
                <w:b/>
              </w:rPr>
              <w:t>Monitor your existing accounts.</w:t>
            </w:r>
            <w:r w:rsidRPr="00CA7B30">
              <w:rPr>
                <w:rFonts w:asciiTheme="minorHAnsi" w:hAnsiTheme="minorHAnsi" w:cstheme="minorHAnsi"/>
              </w:rPr>
              <w:t xml:space="preserve"> </w:t>
            </w:r>
            <w:r w:rsidRPr="00605EB7">
              <w:rPr>
                <w:rFonts w:asciiTheme="minorHAnsi" w:hAnsiTheme="minorHAnsi" w:cstheme="minorHAnsi"/>
              </w:rPr>
              <w:t>W</w:t>
            </w:r>
            <w:r w:rsidRPr="00605EB7">
              <w:rPr>
                <w:rFonts w:asciiTheme="minorHAnsi" w:hAnsiTheme="minorHAnsi" w:cstheme="minorHAnsi"/>
                <w:shd w:val="clear" w:color="auto" w:fill="FFFFFF"/>
              </w:rPr>
              <w:t>atch for unauthorized activity or transfers on your current financial accounts, including 401(k) and brokerage accounts</w:t>
            </w:r>
            <w:r>
              <w:rPr>
                <w:rFonts w:asciiTheme="minorHAnsi" w:hAnsiTheme="minorHAnsi" w:cstheme="minorHAnsi"/>
                <w:shd w:val="clear" w:color="auto" w:fill="FFFFFF"/>
              </w:rPr>
              <w:t>.</w:t>
            </w:r>
          </w:p>
          <w:p w14:paraId="3E6A0327" w14:textId="0587C8FB" w:rsidR="00CA7B30" w:rsidRPr="00CA7B30" w:rsidRDefault="00CA7B30" w:rsidP="00CA7B30">
            <w:pPr>
              <w:pStyle w:val="CommentText"/>
              <w:numPr>
                <w:ilvl w:val="0"/>
                <w:numId w:val="6"/>
              </w:numPr>
              <w:rPr>
                <w:rFonts w:asciiTheme="minorHAnsi" w:hAnsiTheme="minorHAnsi" w:cstheme="minorHAnsi"/>
                <w:b/>
              </w:rPr>
            </w:pPr>
            <w:r>
              <w:rPr>
                <w:b/>
              </w:rPr>
              <w:t xml:space="preserve">File your tax return </w:t>
            </w:r>
            <w:r w:rsidR="00201116">
              <w:rPr>
                <w:b/>
              </w:rPr>
              <w:t>as soon as possible.</w:t>
            </w:r>
          </w:p>
          <w:p w14:paraId="739F4A9C" w14:textId="4C4B4A18" w:rsidR="0076795E" w:rsidRPr="00CA7B30" w:rsidRDefault="00CA7B30" w:rsidP="00CA7B30">
            <w:pPr>
              <w:pStyle w:val="CommentText"/>
              <w:numPr>
                <w:ilvl w:val="0"/>
                <w:numId w:val="6"/>
              </w:numPr>
              <w:rPr>
                <w:rFonts w:asciiTheme="minorHAnsi" w:hAnsiTheme="minorHAnsi" w:cstheme="minorHAnsi"/>
                <w:b/>
              </w:rPr>
            </w:pPr>
            <w:r>
              <w:rPr>
                <w:b/>
              </w:rPr>
              <w:t>Monitor</w:t>
            </w:r>
            <w:r w:rsidR="0076795E" w:rsidRPr="00CA7B30">
              <w:rPr>
                <w:b/>
              </w:rPr>
              <w:t xml:space="preserve"> your medical bills</w:t>
            </w:r>
            <w:r>
              <w:rPr>
                <w:b/>
              </w:rPr>
              <w:t xml:space="preserve">. </w:t>
            </w:r>
            <w:r w:rsidRPr="00CA7B30">
              <w:rPr>
                <w:rFonts w:asciiTheme="minorHAnsi" w:hAnsiTheme="minorHAnsi" w:cstheme="minorHAnsi"/>
                <w:shd w:val="clear" w:color="auto" w:fill="FFFFFF"/>
              </w:rPr>
              <w:t xml:space="preserve">Watch </w:t>
            </w:r>
            <w:r w:rsidRPr="00201116">
              <w:rPr>
                <w:rFonts w:asciiTheme="minorHAnsi" w:hAnsiTheme="minorHAnsi" w:cstheme="minorHAnsi"/>
                <w:shd w:val="clear" w:color="auto" w:fill="FFFFFF"/>
              </w:rPr>
              <w:t>for</w:t>
            </w:r>
            <w:r w:rsidRPr="00201116">
              <w:t xml:space="preserve"> charges you did not incur.</w:t>
            </w:r>
          </w:p>
          <w:p w14:paraId="3D4F18ED" w14:textId="01DE802B" w:rsidR="00201116" w:rsidRPr="00201116" w:rsidRDefault="00CA7B30" w:rsidP="00201116">
            <w:pPr>
              <w:pStyle w:val="CommentText"/>
              <w:numPr>
                <w:ilvl w:val="0"/>
                <w:numId w:val="6"/>
              </w:numPr>
              <w:rPr>
                <w:rFonts w:asciiTheme="minorHAnsi" w:hAnsiTheme="minorHAnsi" w:cstheme="minorHAnsi"/>
                <w:b/>
              </w:rPr>
            </w:pPr>
            <w:r w:rsidRPr="00CA7B30">
              <w:rPr>
                <w:b/>
              </w:rPr>
              <w:t>Change your bank account PIN</w:t>
            </w:r>
            <w:r w:rsidR="00201116">
              <w:rPr>
                <w:b/>
              </w:rPr>
              <w:t>.</w:t>
            </w:r>
          </w:p>
          <w:p w14:paraId="5E0CF7FB" w14:textId="77777777" w:rsidR="00031017" w:rsidRDefault="00031017" w:rsidP="00031017">
            <w:pPr>
              <w:tabs>
                <w:tab w:val="left" w:pos="90"/>
              </w:tabs>
              <w:spacing w:after="0"/>
              <w:ind w:left="-990"/>
              <w:rPr>
                <w:b/>
              </w:rPr>
            </w:pPr>
          </w:p>
          <w:p w14:paraId="2BEC3132" w14:textId="1F2809CE" w:rsidR="00031017" w:rsidRPr="00031017" w:rsidRDefault="00031017" w:rsidP="00031017">
            <w:pPr>
              <w:tabs>
                <w:tab w:val="left" w:pos="90"/>
              </w:tabs>
              <w:spacing w:after="0"/>
              <w:ind w:left="-990"/>
              <w:rPr>
                <w:b/>
              </w:rPr>
            </w:pPr>
            <w:r w:rsidRPr="00031017">
              <w:rPr>
                <w:b/>
              </w:rPr>
              <w:t>Employee Assistance Program Resources</w:t>
            </w:r>
          </w:p>
          <w:p w14:paraId="05C220FB" w14:textId="74A0D8F9" w:rsidR="0019067E" w:rsidRPr="00031017" w:rsidRDefault="00031017" w:rsidP="00031017">
            <w:pPr>
              <w:tabs>
                <w:tab w:val="left" w:pos="90"/>
              </w:tabs>
              <w:spacing w:after="0"/>
              <w:ind w:left="-990"/>
            </w:pPr>
            <w:r w:rsidRPr="00031017">
              <w:t xml:space="preserve">For additional resources and tips on dealing with potential identity theft, contact the Employee Assistance Program. </w:t>
            </w:r>
            <w:r>
              <w:t>Free s</w:t>
            </w:r>
            <w:r w:rsidRPr="00031017">
              <w:t>ervices are o</w:t>
            </w:r>
            <w:r>
              <w:t>ffered through Compsych and are</w:t>
            </w:r>
            <w:r w:rsidRPr="00031017">
              <w:t xml:space="preserve"> available 24/7 at </w:t>
            </w:r>
            <w:hyperlink r:id="rId12" w:history="1">
              <w:r w:rsidRPr="00031017">
                <w:t>www.guidanceresources.com</w:t>
              </w:r>
            </w:hyperlink>
            <w:r w:rsidR="0081063F">
              <w:t>. The organization Web ID is UNCP.</w:t>
            </w:r>
          </w:p>
          <w:p w14:paraId="3EF3BFD7" w14:textId="77777777" w:rsidR="0076795E" w:rsidRPr="0076795E" w:rsidRDefault="0076795E" w:rsidP="00EC61E6">
            <w:pPr>
              <w:tabs>
                <w:tab w:val="left" w:pos="90"/>
              </w:tabs>
              <w:spacing w:after="0"/>
              <w:ind w:left="-990"/>
              <w:rPr>
                <w:b/>
                <w:color w:val="333333" w:themeColor="accent3"/>
              </w:rPr>
            </w:pPr>
          </w:p>
          <w:p w14:paraId="60EBBC26" w14:textId="22505FA1" w:rsidR="00E011E2" w:rsidRPr="008A15A1" w:rsidRDefault="00201116" w:rsidP="00E011E2">
            <w:pPr>
              <w:pStyle w:val="Heading2"/>
              <w:tabs>
                <w:tab w:val="left" w:pos="8470"/>
              </w:tabs>
            </w:pPr>
            <w:r>
              <w:t>Questions?</w:t>
            </w:r>
            <w:r w:rsidR="00E011E2">
              <w:tab/>
            </w:r>
          </w:p>
          <w:p w14:paraId="4E9DDCBD" w14:textId="613FBAA3" w:rsidR="00E011E2" w:rsidRPr="00EC61E6" w:rsidRDefault="00323818" w:rsidP="00E011E2">
            <w:pPr>
              <w:tabs>
                <w:tab w:val="left" w:pos="90"/>
              </w:tabs>
              <w:spacing w:after="0"/>
              <w:ind w:left="-990"/>
              <w:rPr>
                <w:color w:val="333333" w:themeColor="accent3"/>
              </w:rPr>
            </w:pPr>
            <w:r w:rsidRPr="00CA7B30">
              <w:t>For m</w:t>
            </w:r>
            <w:r w:rsidR="00E011E2" w:rsidRPr="00CA7B30">
              <w:t xml:space="preserve">ore information </w:t>
            </w:r>
            <w:r w:rsidRPr="00CA7B30">
              <w:t>visit the</w:t>
            </w:r>
            <w:r w:rsidR="00E011E2" w:rsidRPr="00CA7B30">
              <w:t xml:space="preserve"> </w:t>
            </w:r>
            <w:hyperlink r:id="rId13" w:history="1">
              <w:r w:rsidR="00E011E2" w:rsidRPr="00023749">
                <w:rPr>
                  <w:rStyle w:val="Hyperlink"/>
                </w:rPr>
                <w:t>BCBSNC website</w:t>
              </w:r>
            </w:hyperlink>
            <w:r w:rsidR="00E011E2" w:rsidRPr="00EC61E6">
              <w:rPr>
                <w:color w:val="333333" w:themeColor="accent3"/>
              </w:rPr>
              <w:t xml:space="preserve"> or </w:t>
            </w:r>
            <w:hyperlink r:id="rId14" w:history="1">
              <w:r w:rsidR="00E011E2" w:rsidRPr="00323818">
                <w:rPr>
                  <w:rStyle w:val="Hyperlink"/>
                </w:rPr>
                <w:t>www.anthemfacts.com</w:t>
              </w:r>
            </w:hyperlink>
            <w:r w:rsidRPr="00CA7B30">
              <w:t>, or call the Anthem hotline at</w:t>
            </w:r>
            <w:r w:rsidR="00E011E2" w:rsidRPr="00CA7B30">
              <w:t xml:space="preserve"> </w:t>
            </w:r>
            <w:r w:rsidRPr="00CA7B30">
              <w:t xml:space="preserve">877-263-7995. </w:t>
            </w:r>
          </w:p>
          <w:p w14:paraId="192A1DD2" w14:textId="77777777" w:rsidR="00E011E2" w:rsidRPr="00EC61E6" w:rsidRDefault="00E011E2" w:rsidP="00E011E2">
            <w:pPr>
              <w:tabs>
                <w:tab w:val="left" w:pos="90"/>
              </w:tabs>
              <w:spacing w:after="0"/>
              <w:ind w:left="-990"/>
              <w:rPr>
                <w:color w:val="333333" w:themeColor="accent3"/>
              </w:rPr>
            </w:pPr>
          </w:p>
          <w:p w14:paraId="4B3B375D" w14:textId="77777777" w:rsidR="00EC61E6" w:rsidRPr="00A23D91" w:rsidRDefault="00EC61E6" w:rsidP="00A23D91">
            <w:pPr>
              <w:tabs>
                <w:tab w:val="left" w:pos="90"/>
              </w:tabs>
              <w:spacing w:after="0"/>
              <w:ind w:left="-990"/>
              <w:rPr>
                <w:color w:val="333333" w:themeColor="accent3"/>
              </w:rPr>
            </w:pPr>
          </w:p>
          <w:p w14:paraId="3AC6157A" w14:textId="77777777" w:rsidR="008A15A1" w:rsidRDefault="008A15A1" w:rsidP="00A23D91">
            <w:pPr>
              <w:tabs>
                <w:tab w:val="left" w:pos="90"/>
              </w:tabs>
              <w:spacing w:after="0"/>
              <w:ind w:left="-990"/>
              <w:rPr>
                <w:color w:val="333333" w:themeColor="accent3"/>
              </w:rPr>
            </w:pPr>
          </w:p>
          <w:tbl>
            <w:tblPr>
              <w:tblW w:w="5000" w:type="pct"/>
              <w:tblCellSpacing w:w="0" w:type="dxa"/>
              <w:tblCellMar>
                <w:left w:w="0" w:type="dxa"/>
                <w:right w:w="0" w:type="dxa"/>
              </w:tblCellMar>
              <w:tblLook w:val="04A0" w:firstRow="1" w:lastRow="0" w:firstColumn="1" w:lastColumn="0" w:noHBand="0" w:noVBand="1"/>
            </w:tblPr>
            <w:tblGrid>
              <w:gridCol w:w="10277"/>
            </w:tblGrid>
            <w:tr w:rsidR="00EC61E6" w14:paraId="6DEB5760" w14:textId="77777777" w:rsidTr="00EC61E6">
              <w:trPr>
                <w:tblCellSpacing w:w="0" w:type="dxa"/>
              </w:trPr>
              <w:tc>
                <w:tcPr>
                  <w:tcW w:w="0" w:type="auto"/>
                  <w:vAlign w:val="center"/>
                  <w:hideMark/>
                </w:tcPr>
                <w:p w14:paraId="2187B304" w14:textId="423838A7" w:rsidR="00EC61E6" w:rsidRDefault="00EC61E6" w:rsidP="00EC61E6">
                  <w:pPr>
                    <w:tabs>
                      <w:tab w:val="left" w:pos="90"/>
                    </w:tabs>
                    <w:rPr>
                      <w:rFonts w:eastAsiaTheme="minorHAnsi"/>
                      <w:color w:val="020085"/>
                      <w:sz w:val="27"/>
                      <w:szCs w:val="27"/>
                    </w:rPr>
                  </w:pPr>
                </w:p>
              </w:tc>
            </w:tr>
          </w:tbl>
          <w:p w14:paraId="23AC023C" w14:textId="41A7DCA7" w:rsidR="00134E49" w:rsidRPr="00A23D91" w:rsidRDefault="00134E49" w:rsidP="00EC61E6">
            <w:pPr>
              <w:tabs>
                <w:tab w:val="left" w:pos="90"/>
              </w:tabs>
              <w:spacing w:after="0"/>
              <w:ind w:left="-990"/>
              <w:rPr>
                <w:color w:val="333333" w:themeColor="accent3"/>
              </w:rPr>
            </w:pPr>
          </w:p>
        </w:tc>
      </w:tr>
    </w:tbl>
    <w:p w14:paraId="78746BBE" w14:textId="51980E54" w:rsidR="00961402" w:rsidRDefault="00961402" w:rsidP="00AF5CB9"/>
    <w:sectPr w:rsidR="00961402" w:rsidSect="00985988">
      <w:pgSz w:w="15840" w:h="12240" w:orient="landscape"/>
      <w:pgMar w:top="1800" w:right="1440" w:bottom="1800" w:left="1440" w:header="720" w:footer="720" w:gutter="0"/>
      <w:pgBorders>
        <w:top w:val="single" w:sz="4" w:space="1" w:color="auto"/>
        <w:left w:val="single" w:sz="4" w:space="4" w:color="auto"/>
        <w:bottom w:val="single" w:sz="4" w:space="1" w:color="auto"/>
        <w:right w:val="single" w:sz="4" w:space="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0808"/>
    <w:multiLevelType w:val="hybridMultilevel"/>
    <w:tmpl w:val="B0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8794B"/>
    <w:multiLevelType w:val="multilevel"/>
    <w:tmpl w:val="18E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9207A"/>
    <w:multiLevelType w:val="hybridMultilevel"/>
    <w:tmpl w:val="A848662A"/>
    <w:lvl w:ilvl="0" w:tplc="BCF81F2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71717"/>
    <w:multiLevelType w:val="hybridMultilevel"/>
    <w:tmpl w:val="FE5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A0260"/>
    <w:multiLevelType w:val="hybridMultilevel"/>
    <w:tmpl w:val="6A8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A7BA4"/>
    <w:multiLevelType w:val="hybridMultilevel"/>
    <w:tmpl w:val="0F5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B9"/>
    <w:rsid w:val="00016DCF"/>
    <w:rsid w:val="00023749"/>
    <w:rsid w:val="00031017"/>
    <w:rsid w:val="00036CB4"/>
    <w:rsid w:val="000C7741"/>
    <w:rsid w:val="000D3BE3"/>
    <w:rsid w:val="000E6948"/>
    <w:rsid w:val="000F6296"/>
    <w:rsid w:val="000F73D0"/>
    <w:rsid w:val="00125869"/>
    <w:rsid w:val="00134E49"/>
    <w:rsid w:val="00151378"/>
    <w:rsid w:val="001519BD"/>
    <w:rsid w:val="00154C22"/>
    <w:rsid w:val="00182F64"/>
    <w:rsid w:val="0019067E"/>
    <w:rsid w:val="001A1E08"/>
    <w:rsid w:val="001B2984"/>
    <w:rsid w:val="001C164D"/>
    <w:rsid w:val="001D4003"/>
    <w:rsid w:val="001F767C"/>
    <w:rsid w:val="00201116"/>
    <w:rsid w:val="00207A72"/>
    <w:rsid w:val="00242615"/>
    <w:rsid w:val="00247DA7"/>
    <w:rsid w:val="00286E91"/>
    <w:rsid w:val="002913FB"/>
    <w:rsid w:val="00291E45"/>
    <w:rsid w:val="002A07AC"/>
    <w:rsid w:val="002A4863"/>
    <w:rsid w:val="002B0B0F"/>
    <w:rsid w:val="002B2464"/>
    <w:rsid w:val="002D555E"/>
    <w:rsid w:val="002F2D6F"/>
    <w:rsid w:val="00304961"/>
    <w:rsid w:val="003172C1"/>
    <w:rsid w:val="00323818"/>
    <w:rsid w:val="00324F71"/>
    <w:rsid w:val="00325BFB"/>
    <w:rsid w:val="00361D2D"/>
    <w:rsid w:val="003A76CE"/>
    <w:rsid w:val="003E275C"/>
    <w:rsid w:val="00432240"/>
    <w:rsid w:val="00454802"/>
    <w:rsid w:val="0046595F"/>
    <w:rsid w:val="00476830"/>
    <w:rsid w:val="00491D0A"/>
    <w:rsid w:val="00493DF4"/>
    <w:rsid w:val="004F04C0"/>
    <w:rsid w:val="0050547C"/>
    <w:rsid w:val="005577E1"/>
    <w:rsid w:val="0057159D"/>
    <w:rsid w:val="005972C0"/>
    <w:rsid w:val="005D7989"/>
    <w:rsid w:val="005E043A"/>
    <w:rsid w:val="00605EB7"/>
    <w:rsid w:val="006104F6"/>
    <w:rsid w:val="00630851"/>
    <w:rsid w:val="00631446"/>
    <w:rsid w:val="0063309E"/>
    <w:rsid w:val="00656B1A"/>
    <w:rsid w:val="0065767E"/>
    <w:rsid w:val="00667646"/>
    <w:rsid w:val="006933C2"/>
    <w:rsid w:val="006A50F8"/>
    <w:rsid w:val="006C5C16"/>
    <w:rsid w:val="006F6D57"/>
    <w:rsid w:val="00707A72"/>
    <w:rsid w:val="00717340"/>
    <w:rsid w:val="00735953"/>
    <w:rsid w:val="00737268"/>
    <w:rsid w:val="00741965"/>
    <w:rsid w:val="00742487"/>
    <w:rsid w:val="007615C5"/>
    <w:rsid w:val="00766218"/>
    <w:rsid w:val="00766A9A"/>
    <w:rsid w:val="0076795E"/>
    <w:rsid w:val="0077669D"/>
    <w:rsid w:val="0078465E"/>
    <w:rsid w:val="007949D2"/>
    <w:rsid w:val="007B4EFA"/>
    <w:rsid w:val="007B600C"/>
    <w:rsid w:val="007C55A9"/>
    <w:rsid w:val="0080366A"/>
    <w:rsid w:val="0081063F"/>
    <w:rsid w:val="008408FA"/>
    <w:rsid w:val="00865C54"/>
    <w:rsid w:val="008A15A1"/>
    <w:rsid w:val="008A2294"/>
    <w:rsid w:val="008A399C"/>
    <w:rsid w:val="008B38C9"/>
    <w:rsid w:val="008D2CB2"/>
    <w:rsid w:val="008D6700"/>
    <w:rsid w:val="008F0763"/>
    <w:rsid w:val="008F35FE"/>
    <w:rsid w:val="00913FB9"/>
    <w:rsid w:val="00957934"/>
    <w:rsid w:val="00961402"/>
    <w:rsid w:val="00976CDA"/>
    <w:rsid w:val="00985988"/>
    <w:rsid w:val="009A2F97"/>
    <w:rsid w:val="009D0951"/>
    <w:rsid w:val="009E45F1"/>
    <w:rsid w:val="009F64D4"/>
    <w:rsid w:val="00A07C71"/>
    <w:rsid w:val="00A23D91"/>
    <w:rsid w:val="00A2507C"/>
    <w:rsid w:val="00A35301"/>
    <w:rsid w:val="00A9218A"/>
    <w:rsid w:val="00AA36FC"/>
    <w:rsid w:val="00AA4F45"/>
    <w:rsid w:val="00AE1017"/>
    <w:rsid w:val="00AE50A8"/>
    <w:rsid w:val="00AF5CB9"/>
    <w:rsid w:val="00B04702"/>
    <w:rsid w:val="00B07386"/>
    <w:rsid w:val="00B905E0"/>
    <w:rsid w:val="00B97A79"/>
    <w:rsid w:val="00BC5A8D"/>
    <w:rsid w:val="00BE6711"/>
    <w:rsid w:val="00C15E4C"/>
    <w:rsid w:val="00C7524B"/>
    <w:rsid w:val="00C75572"/>
    <w:rsid w:val="00C92E39"/>
    <w:rsid w:val="00CA7B30"/>
    <w:rsid w:val="00CB3C0B"/>
    <w:rsid w:val="00CD253C"/>
    <w:rsid w:val="00D156F8"/>
    <w:rsid w:val="00D15826"/>
    <w:rsid w:val="00D164C2"/>
    <w:rsid w:val="00D16FB2"/>
    <w:rsid w:val="00D83F9C"/>
    <w:rsid w:val="00D857DC"/>
    <w:rsid w:val="00DC2A0E"/>
    <w:rsid w:val="00DD6193"/>
    <w:rsid w:val="00DD6EE8"/>
    <w:rsid w:val="00E011E2"/>
    <w:rsid w:val="00E3133C"/>
    <w:rsid w:val="00EA46C2"/>
    <w:rsid w:val="00EA5079"/>
    <w:rsid w:val="00EB3646"/>
    <w:rsid w:val="00EC61E6"/>
    <w:rsid w:val="00ED745A"/>
    <w:rsid w:val="00EE1166"/>
    <w:rsid w:val="00EF1700"/>
    <w:rsid w:val="00F15344"/>
    <w:rsid w:val="00F328ED"/>
    <w:rsid w:val="00F35B2D"/>
    <w:rsid w:val="00F51D10"/>
    <w:rsid w:val="00F73A3B"/>
    <w:rsid w:val="00F816A5"/>
    <w:rsid w:val="00FA006D"/>
    <w:rsid w:val="00FC2DA3"/>
    <w:rsid w:val="00FE24D1"/>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fbccd"/>
    </o:shapedefaults>
    <o:shapelayout v:ext="edit">
      <o:idmap v:ext="edit" data="1"/>
    </o:shapelayout>
  </w:shapeDefaults>
  <w:doNotEmbedSmartTags/>
  <w:decimalSymbol w:val="."/>
  <w:listSeparator w:val=","/>
  <w14:docId w14:val="5541C5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CB9"/>
    <w:pPr>
      <w:spacing w:after="120" w:line="264" w:lineRule="auto"/>
      <w:ind w:right="187"/>
    </w:pPr>
    <w:rPr>
      <w:rFonts w:ascii="Arial" w:eastAsia="Times New Roman" w:hAnsi="Arial" w:cs="Arial"/>
    </w:rPr>
  </w:style>
  <w:style w:type="paragraph" w:styleId="Heading1">
    <w:name w:val="heading 1"/>
    <w:basedOn w:val="NormalWeb"/>
    <w:next w:val="Normal"/>
    <w:link w:val="Heading1Char"/>
    <w:uiPriority w:val="9"/>
    <w:qFormat/>
    <w:rsid w:val="00AF5CB9"/>
    <w:pPr>
      <w:outlineLvl w:val="0"/>
    </w:pPr>
    <w:rPr>
      <w:color w:val="136274"/>
      <w:sz w:val="56"/>
      <w:szCs w:val="56"/>
    </w:rPr>
  </w:style>
  <w:style w:type="paragraph" w:styleId="Heading2">
    <w:name w:val="heading 2"/>
    <w:basedOn w:val="Normal"/>
    <w:next w:val="Normal"/>
    <w:link w:val="Heading2Char"/>
    <w:uiPriority w:val="9"/>
    <w:qFormat/>
    <w:rsid w:val="00AF5CB9"/>
    <w:pPr>
      <w:spacing w:before="200" w:after="60"/>
      <w:outlineLvl w:val="1"/>
    </w:pPr>
    <w:rPr>
      <w:b/>
      <w:color w:val="5F1C11"/>
      <w:sz w:val="28"/>
      <w:szCs w:val="28"/>
    </w:rPr>
  </w:style>
  <w:style w:type="paragraph" w:styleId="Heading3">
    <w:name w:val="heading 3"/>
    <w:basedOn w:val="Normal"/>
    <w:next w:val="Normal"/>
    <w:link w:val="Heading3Char"/>
    <w:uiPriority w:val="9"/>
    <w:unhideWhenUsed/>
    <w:qFormat/>
    <w:rsid w:val="00ED745A"/>
    <w:pPr>
      <w:keepNext/>
      <w:keepLines/>
      <w:outlineLvl w:val="2"/>
    </w:pPr>
    <w:rPr>
      <w:rFonts w:asciiTheme="majorHAnsi" w:eastAsiaTheme="majorEastAsia" w:hAnsiTheme="majorHAnsi" w:cstheme="majorBidi"/>
      <w:b/>
      <w:bCs/>
      <w:color w:val="0D7686"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5150"/>
    <w:rPr>
      <w:rFonts w:ascii="Lucida Grande" w:hAnsi="Lucida Grande"/>
      <w:sz w:val="18"/>
      <w:szCs w:val="18"/>
    </w:rPr>
  </w:style>
  <w:style w:type="table" w:styleId="TableGrid">
    <w:name w:val="Table Grid"/>
    <w:basedOn w:val="TableNormal"/>
    <w:uiPriority w:val="59"/>
    <w:rsid w:val="00AF5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5CB9"/>
    <w:pPr>
      <w:spacing w:before="75" w:after="75" w:line="360" w:lineRule="atLeast"/>
    </w:pPr>
  </w:style>
  <w:style w:type="character" w:customStyle="1" w:styleId="Heading1Char">
    <w:name w:val="Heading 1 Char"/>
    <w:link w:val="Heading1"/>
    <w:uiPriority w:val="9"/>
    <w:rsid w:val="00AF5CB9"/>
    <w:rPr>
      <w:rFonts w:ascii="Arial" w:eastAsia="Times New Roman" w:hAnsi="Arial" w:cs="Arial"/>
      <w:color w:val="136274"/>
      <w:sz w:val="56"/>
      <w:szCs w:val="56"/>
      <w:lang w:eastAsia="en-US"/>
    </w:rPr>
  </w:style>
  <w:style w:type="paragraph" w:styleId="Title">
    <w:name w:val="Title"/>
    <w:basedOn w:val="NormalWeb"/>
    <w:next w:val="Normal"/>
    <w:link w:val="TitleChar"/>
    <w:uiPriority w:val="10"/>
    <w:qFormat/>
    <w:rsid w:val="00AF5CB9"/>
    <w:pPr>
      <w:spacing w:before="240" w:after="240" w:line="264" w:lineRule="auto"/>
    </w:pPr>
    <w:rPr>
      <w:color w:val="136274"/>
      <w:sz w:val="28"/>
      <w:szCs w:val="28"/>
    </w:rPr>
  </w:style>
  <w:style w:type="character" w:customStyle="1" w:styleId="TitleChar">
    <w:name w:val="Title Char"/>
    <w:link w:val="Title"/>
    <w:uiPriority w:val="10"/>
    <w:rsid w:val="00AF5CB9"/>
    <w:rPr>
      <w:rFonts w:ascii="Arial" w:eastAsia="Times New Roman" w:hAnsi="Arial" w:cs="Arial"/>
      <w:color w:val="136274"/>
      <w:sz w:val="28"/>
      <w:szCs w:val="28"/>
      <w:lang w:eastAsia="en-US"/>
    </w:rPr>
  </w:style>
  <w:style w:type="character" w:customStyle="1" w:styleId="Heading2Char">
    <w:name w:val="Heading 2 Char"/>
    <w:link w:val="Heading2"/>
    <w:uiPriority w:val="9"/>
    <w:rsid w:val="00AF5CB9"/>
    <w:rPr>
      <w:rFonts w:ascii="Arial" w:eastAsia="Times New Roman" w:hAnsi="Arial" w:cs="Arial"/>
      <w:b/>
      <w:color w:val="5F1C11"/>
      <w:sz w:val="28"/>
      <w:szCs w:val="28"/>
      <w:lang w:eastAsia="en-US"/>
    </w:rPr>
  </w:style>
  <w:style w:type="character" w:styleId="Hyperlink">
    <w:name w:val="Hyperlink"/>
    <w:uiPriority w:val="99"/>
    <w:unhideWhenUsed/>
    <w:rsid w:val="00ED745A"/>
    <w:rPr>
      <w:color w:val="0D7686" w:themeColor="accent4"/>
      <w:u w:val="single"/>
    </w:rPr>
  </w:style>
  <w:style w:type="character" w:styleId="FollowedHyperlink">
    <w:name w:val="FollowedHyperlink"/>
    <w:uiPriority w:val="99"/>
    <w:semiHidden/>
    <w:unhideWhenUsed/>
    <w:rsid w:val="00EF1700"/>
    <w:rPr>
      <w:color w:val="0D7686" w:themeColor="accent4"/>
      <w:u w:val="single"/>
    </w:rPr>
  </w:style>
  <w:style w:type="paragraph" w:customStyle="1" w:styleId="ColorfulList-Accent11">
    <w:name w:val="Colorful List - Accent 11"/>
    <w:basedOn w:val="Normal"/>
    <w:uiPriority w:val="34"/>
    <w:qFormat/>
    <w:rsid w:val="0050547C"/>
    <w:pPr>
      <w:spacing w:after="200" w:line="276" w:lineRule="auto"/>
      <w:ind w:left="720" w:right="0"/>
      <w:contextualSpacing/>
    </w:pPr>
    <w:rPr>
      <w:rFonts w:eastAsia="Arial" w:cs="Times New Roman"/>
      <w:sz w:val="22"/>
      <w:szCs w:val="22"/>
    </w:rPr>
  </w:style>
  <w:style w:type="character" w:styleId="CommentReference">
    <w:name w:val="annotation reference"/>
    <w:uiPriority w:val="99"/>
    <w:semiHidden/>
    <w:unhideWhenUsed/>
    <w:rsid w:val="0050547C"/>
    <w:rPr>
      <w:sz w:val="16"/>
      <w:szCs w:val="16"/>
    </w:rPr>
  </w:style>
  <w:style w:type="character" w:styleId="Strong">
    <w:name w:val="Strong"/>
    <w:uiPriority w:val="22"/>
    <w:qFormat/>
    <w:rsid w:val="0050547C"/>
    <w:rPr>
      <w:b/>
      <w:bCs/>
    </w:rPr>
  </w:style>
  <w:style w:type="paragraph" w:customStyle="1" w:styleId="bullets">
    <w:name w:val="bullets"/>
    <w:basedOn w:val="Normal"/>
    <w:qFormat/>
    <w:rsid w:val="00ED745A"/>
    <w:pPr>
      <w:numPr>
        <w:numId w:val="1"/>
      </w:numPr>
      <w:spacing w:before="120" w:after="0"/>
      <w:ind w:left="576" w:right="0" w:hanging="288"/>
    </w:pPr>
  </w:style>
  <w:style w:type="paragraph" w:styleId="CommentText">
    <w:name w:val="annotation text"/>
    <w:basedOn w:val="Normal"/>
    <w:link w:val="CommentTextChar"/>
    <w:uiPriority w:val="99"/>
    <w:unhideWhenUsed/>
    <w:rsid w:val="001C164D"/>
  </w:style>
  <w:style w:type="character" w:customStyle="1" w:styleId="CommentTextChar">
    <w:name w:val="Comment Text Char"/>
    <w:link w:val="CommentText"/>
    <w:uiPriority w:val="99"/>
    <w:rsid w:val="001C164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1C164D"/>
    <w:rPr>
      <w:b/>
      <w:bCs/>
    </w:rPr>
  </w:style>
  <w:style w:type="character" w:customStyle="1" w:styleId="CommentSubjectChar">
    <w:name w:val="Comment Subject Char"/>
    <w:link w:val="CommentSubject"/>
    <w:uiPriority w:val="99"/>
    <w:semiHidden/>
    <w:rsid w:val="001C164D"/>
    <w:rPr>
      <w:rFonts w:ascii="Arial" w:eastAsia="Times New Roman" w:hAnsi="Arial" w:cs="Arial"/>
      <w:b/>
      <w:bCs/>
    </w:rPr>
  </w:style>
  <w:style w:type="character" w:customStyle="1" w:styleId="Heading3Char">
    <w:name w:val="Heading 3 Char"/>
    <w:basedOn w:val="DefaultParagraphFont"/>
    <w:link w:val="Heading3"/>
    <w:uiPriority w:val="9"/>
    <w:rsid w:val="00ED745A"/>
    <w:rPr>
      <w:rFonts w:asciiTheme="majorHAnsi" w:eastAsiaTheme="majorEastAsia" w:hAnsiTheme="majorHAnsi" w:cstheme="majorBidi"/>
      <w:b/>
      <w:bCs/>
      <w:color w:val="0D7686" w:themeColor="accent4"/>
    </w:rPr>
  </w:style>
  <w:style w:type="paragraph" w:styleId="ListParagraph">
    <w:name w:val="List Paragraph"/>
    <w:basedOn w:val="Normal"/>
    <w:uiPriority w:val="34"/>
    <w:qFormat/>
    <w:rsid w:val="00ED745A"/>
    <w:pPr>
      <w:ind w:left="720"/>
      <w:contextualSpacing/>
    </w:pPr>
  </w:style>
  <w:style w:type="paragraph" w:styleId="Revision">
    <w:name w:val="Revision"/>
    <w:hidden/>
    <w:uiPriority w:val="99"/>
    <w:semiHidden/>
    <w:rsid w:val="00361D2D"/>
    <w:rPr>
      <w:rFonts w:ascii="Arial" w:eastAsia="Times New Roman" w:hAnsi="Arial" w:cs="Arial"/>
    </w:rPr>
  </w:style>
  <w:style w:type="character" w:customStyle="1" w:styleId="apple-converted-space">
    <w:name w:val="apple-converted-space"/>
    <w:basedOn w:val="DefaultParagraphFont"/>
    <w:rsid w:val="00E0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4626">
      <w:bodyDiv w:val="1"/>
      <w:marLeft w:val="0"/>
      <w:marRight w:val="0"/>
      <w:marTop w:val="0"/>
      <w:marBottom w:val="0"/>
      <w:divBdr>
        <w:top w:val="none" w:sz="0" w:space="0" w:color="auto"/>
        <w:left w:val="none" w:sz="0" w:space="0" w:color="auto"/>
        <w:bottom w:val="none" w:sz="0" w:space="0" w:color="auto"/>
        <w:right w:val="none" w:sz="0" w:space="0" w:color="auto"/>
      </w:divBdr>
    </w:div>
    <w:div w:id="258370381">
      <w:bodyDiv w:val="1"/>
      <w:marLeft w:val="0"/>
      <w:marRight w:val="0"/>
      <w:marTop w:val="0"/>
      <w:marBottom w:val="0"/>
      <w:divBdr>
        <w:top w:val="none" w:sz="0" w:space="0" w:color="auto"/>
        <w:left w:val="none" w:sz="0" w:space="0" w:color="auto"/>
        <w:bottom w:val="none" w:sz="0" w:space="0" w:color="auto"/>
        <w:right w:val="none" w:sz="0" w:space="0" w:color="auto"/>
      </w:divBdr>
    </w:div>
    <w:div w:id="839613625">
      <w:bodyDiv w:val="1"/>
      <w:marLeft w:val="0"/>
      <w:marRight w:val="0"/>
      <w:marTop w:val="0"/>
      <w:marBottom w:val="0"/>
      <w:divBdr>
        <w:top w:val="none" w:sz="0" w:space="0" w:color="auto"/>
        <w:left w:val="none" w:sz="0" w:space="0" w:color="auto"/>
        <w:bottom w:val="none" w:sz="0" w:space="0" w:color="auto"/>
        <w:right w:val="none" w:sz="0" w:space="0" w:color="auto"/>
      </w:divBdr>
    </w:div>
    <w:div w:id="1238396711">
      <w:bodyDiv w:val="1"/>
      <w:marLeft w:val="0"/>
      <w:marRight w:val="0"/>
      <w:marTop w:val="0"/>
      <w:marBottom w:val="0"/>
      <w:divBdr>
        <w:top w:val="none" w:sz="0" w:space="0" w:color="auto"/>
        <w:left w:val="none" w:sz="0" w:space="0" w:color="auto"/>
        <w:bottom w:val="none" w:sz="0" w:space="0" w:color="auto"/>
        <w:right w:val="none" w:sz="0" w:space="0" w:color="auto"/>
      </w:divBdr>
      <w:divsChild>
        <w:div w:id="1973365645">
          <w:marLeft w:val="0"/>
          <w:marRight w:val="0"/>
          <w:marTop w:val="0"/>
          <w:marBottom w:val="0"/>
          <w:divBdr>
            <w:top w:val="none" w:sz="0" w:space="0" w:color="auto"/>
            <w:left w:val="none" w:sz="0" w:space="0" w:color="auto"/>
            <w:bottom w:val="none" w:sz="0" w:space="0" w:color="auto"/>
            <w:right w:val="none" w:sz="0" w:space="0" w:color="auto"/>
          </w:divBdr>
          <w:divsChild>
            <w:div w:id="1480222797">
              <w:marLeft w:val="0"/>
              <w:marRight w:val="0"/>
              <w:marTop w:val="0"/>
              <w:marBottom w:val="0"/>
              <w:divBdr>
                <w:top w:val="none" w:sz="0" w:space="0" w:color="auto"/>
                <w:left w:val="none" w:sz="0" w:space="0" w:color="auto"/>
                <w:bottom w:val="none" w:sz="0" w:space="0" w:color="auto"/>
                <w:right w:val="none" w:sz="0" w:space="0" w:color="auto"/>
              </w:divBdr>
            </w:div>
          </w:divsChild>
        </w:div>
        <w:div w:id="1252663590">
          <w:marLeft w:val="0"/>
          <w:marRight w:val="0"/>
          <w:marTop w:val="0"/>
          <w:marBottom w:val="0"/>
          <w:divBdr>
            <w:top w:val="none" w:sz="0" w:space="0" w:color="auto"/>
            <w:left w:val="none" w:sz="0" w:space="0" w:color="auto"/>
            <w:bottom w:val="none" w:sz="0" w:space="0" w:color="auto"/>
            <w:right w:val="none" w:sz="0" w:space="0" w:color="auto"/>
          </w:divBdr>
          <w:divsChild>
            <w:div w:id="1462066667">
              <w:marLeft w:val="0"/>
              <w:marRight w:val="0"/>
              <w:marTop w:val="0"/>
              <w:marBottom w:val="300"/>
              <w:divBdr>
                <w:top w:val="none" w:sz="0" w:space="0" w:color="auto"/>
                <w:left w:val="none" w:sz="0" w:space="0" w:color="auto"/>
                <w:bottom w:val="single" w:sz="6" w:space="0" w:color="CCD6DB"/>
                <w:right w:val="none" w:sz="0" w:space="0" w:color="auto"/>
              </w:divBdr>
              <w:divsChild>
                <w:div w:id="1617829066">
                  <w:marLeft w:val="0"/>
                  <w:marRight w:val="0"/>
                  <w:marTop w:val="0"/>
                  <w:marBottom w:val="0"/>
                  <w:divBdr>
                    <w:top w:val="none" w:sz="0" w:space="0" w:color="auto"/>
                    <w:left w:val="none" w:sz="0" w:space="0" w:color="auto"/>
                    <w:bottom w:val="none" w:sz="0" w:space="0" w:color="auto"/>
                    <w:right w:val="none" w:sz="0" w:space="0" w:color="auto"/>
                  </w:divBdr>
                </w:div>
                <w:div w:id="1937395997">
                  <w:marLeft w:val="0"/>
                  <w:marRight w:val="0"/>
                  <w:marTop w:val="0"/>
                  <w:marBottom w:val="0"/>
                  <w:divBdr>
                    <w:top w:val="none" w:sz="0" w:space="0" w:color="auto"/>
                    <w:left w:val="none" w:sz="0" w:space="0" w:color="auto"/>
                    <w:bottom w:val="none" w:sz="0" w:space="0" w:color="auto"/>
                    <w:right w:val="none" w:sz="0" w:space="0" w:color="auto"/>
                  </w:divBdr>
                </w:div>
              </w:divsChild>
            </w:div>
            <w:div w:id="662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608">
      <w:bodyDiv w:val="1"/>
      <w:marLeft w:val="0"/>
      <w:marRight w:val="0"/>
      <w:marTop w:val="0"/>
      <w:marBottom w:val="0"/>
      <w:divBdr>
        <w:top w:val="none" w:sz="0" w:space="0" w:color="auto"/>
        <w:left w:val="none" w:sz="0" w:space="0" w:color="auto"/>
        <w:bottom w:val="none" w:sz="0" w:space="0" w:color="auto"/>
        <w:right w:val="none" w:sz="0" w:space="0" w:color="auto"/>
      </w:divBdr>
    </w:div>
    <w:div w:id="2078163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cnbc.com/quotes/EFX" TargetMode="External"/><Relationship Id="rId12" Type="http://schemas.openxmlformats.org/officeDocument/2006/relationships/hyperlink" Target="http://www.guidanceresources.com" TargetMode="External"/><Relationship Id="rId13" Type="http://schemas.openxmlformats.org/officeDocument/2006/relationships/hyperlink" Target="http://blog.bcbsnc.com/2015/02/concerned-about-anthems-data-breach/" TargetMode="External"/><Relationship Id="rId14" Type="http://schemas.openxmlformats.org/officeDocument/2006/relationships/hyperlink" Target="file:///C:\Users\xk5g8jn\AppData\Local\Microsoft\Windows\Temporary%20Internet%20Files\Content.Outlook\0IZVDOVR\www.anthemfact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file:///C:\Users\20571508\Documents\Clients\UNC\2015\Anthem%20Data%20Breach\www.anthemfacts.com" TargetMode="External"/><Relationship Id="rId8" Type="http://schemas.openxmlformats.org/officeDocument/2006/relationships/hyperlink" Target="http://www.consumer.ftc.gov/articles/0003-phishing" TargetMode="External"/><Relationship Id="rId9" Type="http://schemas.openxmlformats.org/officeDocument/2006/relationships/hyperlink" Target="http://data.cnbc.com/quotes/EXPN-GB" TargetMode="External"/><Relationship Id="rId10" Type="http://schemas.openxmlformats.org/officeDocument/2006/relationships/hyperlink" Target="http://www.transunion.com/" TargetMode="External"/></Relationships>
</file>

<file path=word/theme/theme1.xml><?xml version="1.0" encoding="utf-8"?>
<a:theme xmlns:a="http://schemas.openxmlformats.org/drawingml/2006/main" name="UNC">
  <a:themeElements>
    <a:clrScheme name="Custom 2">
      <a:dk1>
        <a:srgbClr val="72260D"/>
      </a:dk1>
      <a:lt1>
        <a:srgbClr val="FFFFFF"/>
      </a:lt1>
      <a:dk2>
        <a:srgbClr val="5D1E08"/>
      </a:dk2>
      <a:lt2>
        <a:srgbClr val="E0DAA1"/>
      </a:lt2>
      <a:accent1>
        <a:srgbClr val="CBC587"/>
      </a:accent1>
      <a:accent2>
        <a:srgbClr val="7D7A57"/>
      </a:accent2>
      <a:accent3>
        <a:srgbClr val="333333"/>
      </a:accent3>
      <a:accent4>
        <a:srgbClr val="0D7686"/>
      </a:accent4>
      <a:accent5>
        <a:srgbClr val="A4BAC0"/>
      </a:accent5>
      <a:accent6>
        <a:srgbClr val="80BCA8"/>
      </a:accent6>
      <a:hlink>
        <a:srgbClr val="0D7686"/>
      </a:hlink>
      <a:folHlink>
        <a:srgbClr val="0D7686"/>
      </a:folHlink>
    </a:clrScheme>
    <a:fontScheme name="Blank Presentation">
      <a:majorFont>
        <a:latin typeface="Arial"/>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F7EF-7DD2-7245-BA81-77B436A2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Consultants</dc:creator>
  <cp:lastModifiedBy>Mary Cadle</cp:lastModifiedBy>
  <cp:revision>2</cp:revision>
  <cp:lastPrinted>2015-02-03T21:38:00Z</cp:lastPrinted>
  <dcterms:created xsi:type="dcterms:W3CDTF">2017-10-11T20:17:00Z</dcterms:created>
  <dcterms:modified xsi:type="dcterms:W3CDTF">2017-10-11T20:17:00Z</dcterms:modified>
</cp:coreProperties>
</file>