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25"/>
        <w:gridCol w:w="4950"/>
        <w:gridCol w:w="2370"/>
      </w:tblGrid>
      <w:tr w:rsidR="72A1141F" w:rsidRPr="009E5D07" w14:paraId="76F05138" w14:textId="77777777" w:rsidTr="00053FAD">
        <w:trPr>
          <w:trHeight w:val="810"/>
        </w:trPr>
        <w:tc>
          <w:tcPr>
            <w:tcW w:w="2025" w:type="dxa"/>
            <w:vMerge w:val="restart"/>
          </w:tcPr>
          <w:p w14:paraId="2ED5FEC5" w14:textId="18C64E26" w:rsidR="72A1141F" w:rsidRPr="00053FAD" w:rsidRDefault="72A1141F" w:rsidP="00522817">
            <w:pPr>
              <w:spacing w:line="240" w:lineRule="auto"/>
              <w:jc w:val="both"/>
              <w:rPr>
                <w:rFonts w:ascii="Times New Roman" w:hAnsi="Times New Roman" w:cs="Times New Roman"/>
                <w:sz w:val="24"/>
                <w:szCs w:val="24"/>
              </w:rPr>
            </w:pPr>
          </w:p>
        </w:tc>
        <w:tc>
          <w:tcPr>
            <w:tcW w:w="4950" w:type="dxa"/>
          </w:tcPr>
          <w:p w14:paraId="369389A5" w14:textId="246DAAD5" w:rsidR="72A1141F" w:rsidRPr="009E5D07" w:rsidRDefault="72A1141F" w:rsidP="00522817">
            <w:pPr>
              <w:spacing w:line="240" w:lineRule="auto"/>
              <w:ind w:left="684" w:hanging="684"/>
              <w:jc w:val="both"/>
              <w:rPr>
                <w:rFonts w:ascii="Times New Roman" w:hAnsi="Times New Roman" w:cs="Times New Roman"/>
                <w:sz w:val="24"/>
                <w:szCs w:val="24"/>
              </w:rPr>
            </w:pPr>
            <w:r w:rsidRPr="009E5D07">
              <w:rPr>
                <w:rFonts w:ascii="Times New Roman" w:eastAsia="Times New Roman" w:hAnsi="Times New Roman" w:cs="Times New Roman"/>
                <w:b/>
                <w:bCs/>
                <w:color w:val="806000" w:themeColor="accent4" w:themeShade="80"/>
                <w:sz w:val="24"/>
                <w:szCs w:val="24"/>
              </w:rPr>
              <w:t>University of North Carolina Pembroke</w:t>
            </w:r>
          </w:p>
          <w:p w14:paraId="22CEB0F3" w14:textId="6D326EBE" w:rsidR="72A1141F" w:rsidRPr="009E5D07" w:rsidRDefault="72A1141F" w:rsidP="00522817">
            <w:pPr>
              <w:spacing w:line="240" w:lineRule="auto"/>
              <w:ind w:left="684" w:hanging="684"/>
              <w:jc w:val="both"/>
              <w:rPr>
                <w:rFonts w:ascii="Times New Roman" w:hAnsi="Times New Roman" w:cs="Times New Roman"/>
                <w:sz w:val="24"/>
                <w:szCs w:val="24"/>
              </w:rPr>
            </w:pPr>
            <w:r w:rsidRPr="009E5D07">
              <w:rPr>
                <w:rFonts w:ascii="Times New Roman" w:eastAsia="Times New Roman" w:hAnsi="Times New Roman" w:cs="Times New Roman"/>
                <w:b/>
                <w:bCs/>
                <w:sz w:val="24"/>
                <w:szCs w:val="24"/>
              </w:rPr>
              <w:t>Institutional Review Board</w:t>
            </w:r>
          </w:p>
        </w:tc>
        <w:tc>
          <w:tcPr>
            <w:tcW w:w="2370" w:type="dxa"/>
          </w:tcPr>
          <w:p w14:paraId="3E67ED4F" w14:textId="6D68FB98" w:rsidR="72A1141F" w:rsidRPr="009E5D07" w:rsidRDefault="72A1141F" w:rsidP="00522817">
            <w:pPr>
              <w:spacing w:line="240" w:lineRule="auto"/>
              <w:ind w:firstLine="45"/>
              <w:jc w:val="both"/>
              <w:rPr>
                <w:rFonts w:ascii="Times New Roman" w:hAnsi="Times New Roman" w:cs="Times New Roman"/>
                <w:sz w:val="24"/>
                <w:szCs w:val="24"/>
              </w:rPr>
            </w:pPr>
            <w:r w:rsidRPr="009E5D07">
              <w:rPr>
                <w:rFonts w:ascii="Times New Roman" w:eastAsia="Times New Roman" w:hAnsi="Times New Roman" w:cs="Times New Roman"/>
                <w:b/>
                <w:bCs/>
                <w:sz w:val="24"/>
                <w:szCs w:val="24"/>
              </w:rPr>
              <w:t>Standard Operating</w:t>
            </w:r>
          </w:p>
          <w:p w14:paraId="17969062" w14:textId="757C3CF3" w:rsidR="72A1141F" w:rsidRPr="009E5D07" w:rsidRDefault="72A1141F" w:rsidP="00522817">
            <w:pPr>
              <w:spacing w:line="240" w:lineRule="auto"/>
              <w:jc w:val="both"/>
              <w:rPr>
                <w:rFonts w:ascii="Times New Roman" w:hAnsi="Times New Roman" w:cs="Times New Roman"/>
                <w:sz w:val="24"/>
                <w:szCs w:val="24"/>
              </w:rPr>
            </w:pPr>
            <w:r w:rsidRPr="009E5D07">
              <w:rPr>
                <w:rFonts w:ascii="Times New Roman" w:eastAsia="Times New Roman" w:hAnsi="Times New Roman" w:cs="Times New Roman"/>
                <w:b/>
                <w:bCs/>
                <w:sz w:val="24"/>
                <w:szCs w:val="24"/>
              </w:rPr>
              <w:t>Procedure</w:t>
            </w:r>
          </w:p>
        </w:tc>
      </w:tr>
      <w:tr w:rsidR="72A1141F" w:rsidRPr="009E5D07" w14:paraId="469869A9" w14:textId="77777777" w:rsidTr="00053FAD">
        <w:trPr>
          <w:trHeight w:val="495"/>
        </w:trPr>
        <w:tc>
          <w:tcPr>
            <w:tcW w:w="2025" w:type="dxa"/>
            <w:vMerge/>
            <w:vAlign w:val="center"/>
          </w:tcPr>
          <w:p w14:paraId="6F085F2D" w14:textId="77777777" w:rsidR="008D7F17" w:rsidRPr="009E5D07" w:rsidRDefault="008D7F17" w:rsidP="00522817">
            <w:pPr>
              <w:spacing w:line="240" w:lineRule="auto"/>
              <w:rPr>
                <w:rFonts w:ascii="Times New Roman" w:hAnsi="Times New Roman" w:cs="Times New Roman"/>
                <w:sz w:val="24"/>
                <w:szCs w:val="24"/>
              </w:rPr>
            </w:pPr>
          </w:p>
        </w:tc>
        <w:tc>
          <w:tcPr>
            <w:tcW w:w="4950" w:type="dxa"/>
          </w:tcPr>
          <w:p w14:paraId="4E4FED3B" w14:textId="196A9D0C" w:rsidR="72A1141F" w:rsidRPr="009E5D07" w:rsidRDefault="72A1141F" w:rsidP="00522817">
            <w:pPr>
              <w:spacing w:line="240" w:lineRule="auto"/>
              <w:jc w:val="both"/>
              <w:rPr>
                <w:rFonts w:ascii="Times New Roman" w:hAnsi="Times New Roman" w:cs="Times New Roman"/>
                <w:sz w:val="24"/>
                <w:szCs w:val="24"/>
              </w:rPr>
            </w:pPr>
            <w:r w:rsidRPr="009E5D07">
              <w:rPr>
                <w:rFonts w:ascii="Times New Roman" w:eastAsia="Times New Roman" w:hAnsi="Times New Roman" w:cs="Times New Roman"/>
                <w:b/>
                <w:bCs/>
                <w:sz w:val="24"/>
                <w:szCs w:val="24"/>
                <w:u w:val="single"/>
              </w:rPr>
              <w:t>Findings of Noncompliance Procedures</w:t>
            </w:r>
          </w:p>
        </w:tc>
        <w:tc>
          <w:tcPr>
            <w:tcW w:w="2370" w:type="dxa"/>
          </w:tcPr>
          <w:p w14:paraId="360F3ABB" w14:textId="60663A38" w:rsidR="72A1141F" w:rsidRPr="009E5D07" w:rsidRDefault="72A1141F" w:rsidP="00522817">
            <w:pPr>
              <w:spacing w:line="240" w:lineRule="auto"/>
              <w:jc w:val="both"/>
              <w:rPr>
                <w:rFonts w:ascii="Times New Roman" w:eastAsia="Times New Roman" w:hAnsi="Times New Roman" w:cs="Times New Roman"/>
                <w:b/>
                <w:bCs/>
                <w:sz w:val="24"/>
                <w:szCs w:val="24"/>
              </w:rPr>
            </w:pPr>
          </w:p>
        </w:tc>
      </w:tr>
    </w:tbl>
    <w:p w14:paraId="1CFFDDE1" w14:textId="4F46E8D1" w:rsidR="72A1141F" w:rsidRPr="009E5D07" w:rsidRDefault="72A1141F" w:rsidP="00522817">
      <w:pPr>
        <w:spacing w:line="240" w:lineRule="auto"/>
        <w:jc w:val="both"/>
        <w:rPr>
          <w:rFonts w:ascii="Times New Roman" w:hAnsi="Times New Roman" w:cs="Times New Roman"/>
          <w:sz w:val="24"/>
          <w:szCs w:val="24"/>
        </w:rPr>
      </w:pPr>
      <w:r w:rsidRPr="009E5D07">
        <w:rPr>
          <w:rFonts w:ascii="Times New Roman" w:eastAsia="Times New Roman" w:hAnsi="Times New Roman" w:cs="Times New Roman"/>
          <w:sz w:val="24"/>
          <w:szCs w:val="24"/>
        </w:rPr>
        <w:t xml:space="preserve"> </w:t>
      </w:r>
    </w:p>
    <w:p w14:paraId="218DC411" w14:textId="0E7488FA" w:rsidR="72A1141F" w:rsidRPr="009E5D07" w:rsidRDefault="144C6054" w:rsidP="00522817">
      <w:pPr>
        <w:spacing w:line="240" w:lineRule="auto"/>
        <w:jc w:val="both"/>
        <w:rPr>
          <w:rFonts w:ascii="Times New Roman" w:eastAsia="Times New Roman" w:hAnsi="Times New Roman" w:cs="Times New Roman"/>
          <w:sz w:val="24"/>
          <w:szCs w:val="24"/>
        </w:rPr>
      </w:pPr>
      <w:r w:rsidRPr="009E5D07">
        <w:rPr>
          <w:rFonts w:ascii="Times New Roman" w:eastAsia="Times New Roman" w:hAnsi="Times New Roman" w:cs="Times New Roman"/>
          <w:sz w:val="24"/>
          <w:szCs w:val="24"/>
        </w:rPr>
        <w:t>The purpose of this Standard Operating Procedure (SOP) for the University of North Carolina Pembroke (UNCP) sets forth the definition of non-compliance and the Institutional Review Board (IRB) process</w:t>
      </w:r>
      <w:r w:rsidR="00DC0DF0" w:rsidRPr="009E5D07">
        <w:rPr>
          <w:rFonts w:ascii="Times New Roman" w:eastAsia="Times New Roman" w:hAnsi="Times New Roman" w:cs="Times New Roman"/>
          <w:sz w:val="24"/>
          <w:szCs w:val="24"/>
        </w:rPr>
        <w:t>es</w:t>
      </w:r>
      <w:r w:rsidRPr="009E5D07">
        <w:rPr>
          <w:rFonts w:ascii="Times New Roman" w:eastAsia="Times New Roman" w:hAnsi="Times New Roman" w:cs="Times New Roman"/>
          <w:sz w:val="24"/>
          <w:szCs w:val="24"/>
        </w:rPr>
        <w:t xml:space="preserve"> for assessing non-compliance and issuing corrective actions in human subjects research.</w:t>
      </w:r>
    </w:p>
    <w:p w14:paraId="109EEBEA" w14:textId="15A336B7" w:rsidR="2A82F159" w:rsidRPr="009E5D07" w:rsidRDefault="2A82F159" w:rsidP="00522817">
      <w:pPr>
        <w:spacing w:line="240" w:lineRule="auto"/>
        <w:jc w:val="both"/>
        <w:rPr>
          <w:rFonts w:ascii="Times New Roman" w:eastAsia="Times New Roman" w:hAnsi="Times New Roman" w:cs="Times New Roman"/>
          <w:sz w:val="24"/>
          <w:szCs w:val="24"/>
        </w:rPr>
      </w:pPr>
    </w:p>
    <w:p w14:paraId="5EFB84F3" w14:textId="18CCF5A2" w:rsidR="72A1141F" w:rsidRPr="009E5D07" w:rsidRDefault="72A1141F" w:rsidP="00522817">
      <w:pPr>
        <w:spacing w:line="240" w:lineRule="auto"/>
        <w:ind w:left="720" w:hanging="720"/>
        <w:jc w:val="both"/>
        <w:rPr>
          <w:rFonts w:ascii="Times New Roman" w:hAnsi="Times New Roman" w:cs="Times New Roman"/>
          <w:sz w:val="24"/>
          <w:szCs w:val="24"/>
        </w:rPr>
      </w:pPr>
      <w:r w:rsidRPr="009E5D07">
        <w:rPr>
          <w:rFonts w:ascii="Times New Roman" w:eastAsia="Times New Roman" w:hAnsi="Times New Roman" w:cs="Times New Roman"/>
          <w:b/>
          <w:bCs/>
          <w:sz w:val="24"/>
          <w:szCs w:val="24"/>
        </w:rPr>
        <w:t>I.</w:t>
      </w:r>
      <w:r w:rsidRPr="009E5D07">
        <w:rPr>
          <w:rFonts w:ascii="Times New Roman" w:eastAsia="Times New Roman" w:hAnsi="Times New Roman" w:cs="Times New Roman"/>
          <w:sz w:val="24"/>
          <w:szCs w:val="24"/>
        </w:rPr>
        <w:t xml:space="preserve">              </w:t>
      </w:r>
      <w:r w:rsidRPr="009E5D07">
        <w:rPr>
          <w:rFonts w:ascii="Times New Roman" w:eastAsia="Times New Roman" w:hAnsi="Times New Roman" w:cs="Times New Roman"/>
          <w:b/>
          <w:bCs/>
          <w:sz w:val="24"/>
          <w:szCs w:val="24"/>
        </w:rPr>
        <w:t>General Information</w:t>
      </w:r>
    </w:p>
    <w:p w14:paraId="222AAD75" w14:textId="6F7EF884" w:rsidR="00B337B2" w:rsidRPr="009E5D07" w:rsidRDefault="72A1141F" w:rsidP="00F32837">
      <w:pPr>
        <w:pStyle w:val="commentcontentpara"/>
        <w:spacing w:before="0" w:beforeAutospacing="0" w:after="0" w:afterAutospacing="0"/>
        <w:jc w:val="both"/>
      </w:pPr>
      <w:r w:rsidRPr="009E5D07">
        <w:t>Researchers conducting human subjects research are required to conduct the research in an ethical and responsible manner, in accordance with the methods and procedures approved by the UNCP IRB</w:t>
      </w:r>
      <w:r w:rsidR="00B337B2" w:rsidRPr="009E5D07">
        <w:t xml:space="preserve"> or as mandated by state laws and federal regulations</w:t>
      </w:r>
      <w:r w:rsidRPr="009E5D07">
        <w:t xml:space="preserve">.  </w:t>
      </w:r>
      <w:r w:rsidR="00B1638C" w:rsidRPr="009E5D07">
        <w:t>As per the Faculty Handbook, t</w:t>
      </w:r>
      <w:r w:rsidR="00B337B2" w:rsidRPr="009E5D07">
        <w:t>he UNCP IRB has the jurisdiction to determine whether an act or omission by a researcher constitutes noncompliance of IRB policy or violation of state law or federal regulations.</w:t>
      </w:r>
    </w:p>
    <w:p w14:paraId="2BBB70C0" w14:textId="1209EF36" w:rsidR="72A1141F" w:rsidRPr="009E5D07" w:rsidRDefault="72A1141F" w:rsidP="00522817">
      <w:pPr>
        <w:spacing w:line="240" w:lineRule="auto"/>
        <w:jc w:val="both"/>
        <w:rPr>
          <w:rFonts w:ascii="Times New Roman" w:eastAsia="Times New Roman" w:hAnsi="Times New Roman" w:cs="Times New Roman"/>
          <w:sz w:val="24"/>
          <w:szCs w:val="24"/>
        </w:rPr>
      </w:pPr>
    </w:p>
    <w:p w14:paraId="28AAFDA5" w14:textId="70588028" w:rsidR="72A1141F" w:rsidRPr="009E5D07" w:rsidRDefault="72A1141F" w:rsidP="00522817">
      <w:pPr>
        <w:spacing w:line="240" w:lineRule="auto"/>
        <w:jc w:val="both"/>
        <w:rPr>
          <w:rFonts w:ascii="Times New Roman" w:eastAsia="Times New Roman" w:hAnsi="Times New Roman" w:cs="Times New Roman"/>
          <w:sz w:val="24"/>
          <w:szCs w:val="24"/>
        </w:rPr>
      </w:pPr>
      <w:r w:rsidRPr="009E5D07">
        <w:rPr>
          <w:rFonts w:ascii="Times New Roman" w:eastAsia="Times New Roman" w:hAnsi="Times New Roman" w:cs="Times New Roman"/>
          <w:sz w:val="24"/>
          <w:szCs w:val="24"/>
        </w:rPr>
        <w:t xml:space="preserve">All university personnel conducting research involving human subjects are expected to comply with the highest standards of ethical and professional conduct in accordance with both federal regulations and institutional policies and procedures. </w:t>
      </w:r>
      <w:r w:rsidR="00EB7D0D" w:rsidRPr="009E5D07">
        <w:rPr>
          <w:rFonts w:ascii="Times New Roman" w:eastAsia="Times New Roman" w:hAnsi="Times New Roman" w:cs="Times New Roman"/>
          <w:sz w:val="24"/>
          <w:szCs w:val="24"/>
        </w:rPr>
        <w:t>As per the Faculty Handbook, a</w:t>
      </w:r>
      <w:r w:rsidRPr="009E5D07">
        <w:rPr>
          <w:rFonts w:ascii="Times New Roman" w:eastAsia="Times New Roman" w:hAnsi="Times New Roman" w:cs="Times New Roman"/>
          <w:sz w:val="24"/>
          <w:szCs w:val="24"/>
        </w:rPr>
        <w:t xml:space="preserve">ny </w:t>
      </w:r>
      <w:r w:rsidR="00EB7D0D" w:rsidRPr="009E5D07">
        <w:rPr>
          <w:rFonts w:ascii="Times New Roman" w:eastAsia="Times New Roman" w:hAnsi="Times New Roman" w:cs="Times New Roman"/>
          <w:sz w:val="24"/>
          <w:szCs w:val="24"/>
        </w:rPr>
        <w:t>research team member</w:t>
      </w:r>
      <w:r w:rsidRPr="009E5D07">
        <w:rPr>
          <w:rFonts w:ascii="Times New Roman" w:eastAsia="Times New Roman" w:hAnsi="Times New Roman" w:cs="Times New Roman"/>
          <w:sz w:val="24"/>
          <w:szCs w:val="24"/>
        </w:rPr>
        <w:t xml:space="preserve"> (</w:t>
      </w:r>
      <w:r w:rsidRPr="009E5D07">
        <w:rPr>
          <w:rFonts w:ascii="Times New Roman" w:eastAsia="Times New Roman" w:hAnsi="Times New Roman" w:cs="Times New Roman"/>
          <w:i/>
          <w:iCs/>
          <w:sz w:val="24"/>
          <w:szCs w:val="24"/>
        </w:rPr>
        <w:t>i.e</w:t>
      </w:r>
      <w:r w:rsidRPr="009E5D07">
        <w:rPr>
          <w:rFonts w:ascii="Times New Roman" w:eastAsia="Times New Roman" w:hAnsi="Times New Roman" w:cs="Times New Roman"/>
          <w:sz w:val="24"/>
          <w:szCs w:val="24"/>
        </w:rPr>
        <w:t xml:space="preserve">., faculty, students, staff, or anyone conducting </w:t>
      </w:r>
      <w:r w:rsidR="00B337B2" w:rsidRPr="009E5D07">
        <w:rPr>
          <w:rFonts w:ascii="Times New Roman" w:eastAsia="Times New Roman" w:hAnsi="Times New Roman" w:cs="Times New Roman"/>
          <w:sz w:val="24"/>
          <w:szCs w:val="24"/>
        </w:rPr>
        <w:t>generalizable human subjects research)</w:t>
      </w:r>
      <w:r w:rsidRPr="009E5D07">
        <w:rPr>
          <w:rFonts w:ascii="Times New Roman" w:eastAsia="Times New Roman" w:hAnsi="Times New Roman" w:cs="Times New Roman"/>
          <w:sz w:val="24"/>
          <w:szCs w:val="24"/>
        </w:rPr>
        <w:t xml:space="preserve"> may be subject to allegations or inquiries into non-compliance. </w:t>
      </w:r>
    </w:p>
    <w:p w14:paraId="4FA71537" w14:textId="6EA7C48D" w:rsidR="2A82F159" w:rsidRPr="009E5D07" w:rsidRDefault="2A82F159" w:rsidP="00522817">
      <w:pPr>
        <w:spacing w:line="240" w:lineRule="auto"/>
        <w:jc w:val="both"/>
        <w:rPr>
          <w:rFonts w:ascii="Times New Roman" w:eastAsia="Times New Roman" w:hAnsi="Times New Roman" w:cs="Times New Roman"/>
          <w:sz w:val="24"/>
          <w:szCs w:val="24"/>
        </w:rPr>
      </w:pPr>
    </w:p>
    <w:p w14:paraId="2612CC0F" w14:textId="2B0ECB3E" w:rsidR="2A82F159" w:rsidRPr="009E5D07" w:rsidRDefault="2A82F159" w:rsidP="00522817">
      <w:pPr>
        <w:spacing w:line="240" w:lineRule="auto"/>
        <w:jc w:val="both"/>
        <w:rPr>
          <w:rFonts w:ascii="Times New Roman" w:eastAsia="Times New Roman" w:hAnsi="Times New Roman" w:cs="Times New Roman"/>
          <w:b/>
          <w:bCs/>
          <w:sz w:val="24"/>
          <w:szCs w:val="24"/>
        </w:rPr>
      </w:pPr>
      <w:r w:rsidRPr="009E5D07">
        <w:rPr>
          <w:rFonts w:ascii="Times New Roman" w:eastAsia="Times New Roman" w:hAnsi="Times New Roman" w:cs="Times New Roman"/>
          <w:b/>
          <w:bCs/>
          <w:sz w:val="24"/>
          <w:szCs w:val="24"/>
        </w:rPr>
        <w:t>II.</w:t>
      </w:r>
      <w:r w:rsidRPr="009E5D07">
        <w:rPr>
          <w:rFonts w:ascii="Times New Roman" w:hAnsi="Times New Roman" w:cs="Times New Roman"/>
          <w:sz w:val="24"/>
          <w:szCs w:val="24"/>
        </w:rPr>
        <w:tab/>
      </w:r>
      <w:r w:rsidRPr="009E5D07">
        <w:rPr>
          <w:rFonts w:ascii="Times New Roman" w:eastAsia="Times New Roman" w:hAnsi="Times New Roman" w:cs="Times New Roman"/>
          <w:b/>
          <w:bCs/>
          <w:sz w:val="24"/>
          <w:szCs w:val="24"/>
        </w:rPr>
        <w:t>Definitions</w:t>
      </w:r>
    </w:p>
    <w:p w14:paraId="72701667" w14:textId="6335847F" w:rsidR="2A82F159" w:rsidRPr="009E5D07" w:rsidRDefault="2A82F159" w:rsidP="00522817">
      <w:pPr>
        <w:spacing w:line="240" w:lineRule="auto"/>
        <w:jc w:val="both"/>
        <w:rPr>
          <w:rFonts w:ascii="Times New Roman" w:eastAsia="Times New Roman" w:hAnsi="Times New Roman" w:cs="Times New Roman"/>
          <w:sz w:val="24"/>
          <w:szCs w:val="24"/>
        </w:rPr>
      </w:pPr>
      <w:r w:rsidRPr="009E5D07">
        <w:rPr>
          <w:rFonts w:ascii="Times New Roman" w:eastAsia="Times New Roman" w:hAnsi="Times New Roman" w:cs="Times New Roman"/>
          <w:b/>
          <w:bCs/>
          <w:sz w:val="24"/>
          <w:szCs w:val="24"/>
        </w:rPr>
        <w:t>A. Human Subjects</w:t>
      </w:r>
    </w:p>
    <w:p w14:paraId="7621B7AE" w14:textId="7FF8010F" w:rsidR="5725D364" w:rsidRPr="009E5D07" w:rsidRDefault="5725D364" w:rsidP="00522817">
      <w:pPr>
        <w:spacing w:line="240" w:lineRule="auto"/>
        <w:jc w:val="both"/>
        <w:rPr>
          <w:rFonts w:ascii="Times New Roman" w:eastAsia="Times New Roman" w:hAnsi="Times New Roman" w:cs="Times New Roman"/>
          <w:color w:val="000000" w:themeColor="text1"/>
          <w:sz w:val="24"/>
          <w:szCs w:val="24"/>
        </w:rPr>
      </w:pPr>
      <w:r w:rsidRPr="009E5D07">
        <w:rPr>
          <w:rFonts w:ascii="Times New Roman" w:eastAsia="Times New Roman" w:hAnsi="Times New Roman" w:cs="Times New Roman"/>
          <w:color w:val="333333"/>
          <w:sz w:val="24"/>
          <w:szCs w:val="24"/>
        </w:rPr>
        <w:t xml:space="preserve">According to </w:t>
      </w:r>
      <w:hyperlink r:id="rId7">
        <w:r w:rsidRPr="009E5D07">
          <w:rPr>
            <w:rStyle w:val="Hyperlink"/>
            <w:rFonts w:ascii="Times New Roman" w:eastAsia="Times New Roman" w:hAnsi="Times New Roman" w:cs="Times New Roman"/>
            <w:sz w:val="24"/>
            <w:szCs w:val="24"/>
          </w:rPr>
          <w:t>45 CFR 46,</w:t>
        </w:r>
      </w:hyperlink>
      <w:r w:rsidRPr="009E5D07">
        <w:rPr>
          <w:rFonts w:ascii="Times New Roman" w:eastAsia="Times New Roman" w:hAnsi="Times New Roman" w:cs="Times New Roman"/>
          <w:color w:val="333333"/>
          <w:sz w:val="24"/>
          <w:szCs w:val="24"/>
        </w:rPr>
        <w:t xml:space="preserve">  </w:t>
      </w:r>
      <w:r w:rsidRPr="009E5D07">
        <w:rPr>
          <w:rFonts w:ascii="Times New Roman" w:eastAsia="Times New Roman" w:hAnsi="Times New Roman" w:cs="Times New Roman"/>
          <w:i/>
          <w:iCs/>
          <w:color w:val="000000" w:themeColor="text1"/>
          <w:sz w:val="24"/>
          <w:szCs w:val="24"/>
        </w:rPr>
        <w:t>Human subject</w:t>
      </w:r>
      <w:r w:rsidRPr="009E5D07">
        <w:rPr>
          <w:rFonts w:ascii="Times New Roman" w:eastAsia="Times New Roman" w:hAnsi="Times New Roman" w:cs="Times New Roman"/>
          <w:color w:val="000000" w:themeColor="text1"/>
          <w:sz w:val="24"/>
          <w:szCs w:val="24"/>
        </w:rPr>
        <w:t xml:space="preserve"> </w:t>
      </w:r>
      <w:r w:rsidR="00800F63" w:rsidRPr="009E5D07">
        <w:rPr>
          <w:rFonts w:ascii="Times New Roman" w:eastAsia="Times New Roman" w:hAnsi="Times New Roman" w:cs="Times New Roman"/>
          <w:color w:val="000000" w:themeColor="text1"/>
          <w:sz w:val="24"/>
          <w:szCs w:val="24"/>
        </w:rPr>
        <w:t>refers to</w:t>
      </w:r>
      <w:r w:rsidRPr="009E5D07">
        <w:rPr>
          <w:rFonts w:ascii="Times New Roman" w:eastAsia="Times New Roman" w:hAnsi="Times New Roman" w:cs="Times New Roman"/>
          <w:color w:val="000000" w:themeColor="text1"/>
          <w:sz w:val="24"/>
          <w:szCs w:val="24"/>
        </w:rPr>
        <w:t xml:space="preserve"> a living individual about whom an investigator (whether professional or student) conducting research:</w:t>
      </w:r>
    </w:p>
    <w:p w14:paraId="082746B6" w14:textId="673E1A24" w:rsidR="00800F63" w:rsidRPr="009E5D07" w:rsidRDefault="007044BE" w:rsidP="00522817">
      <w:pPr>
        <w:pStyle w:val="ListParagraph"/>
        <w:numPr>
          <w:ilvl w:val="0"/>
          <w:numId w:val="7"/>
        </w:numPr>
        <w:spacing w:line="240" w:lineRule="auto"/>
        <w:jc w:val="both"/>
        <w:rPr>
          <w:rFonts w:ascii="Times New Roman" w:eastAsia="Times New Roman" w:hAnsi="Times New Roman" w:cs="Times New Roman"/>
          <w:color w:val="000000" w:themeColor="text1"/>
          <w:sz w:val="24"/>
          <w:szCs w:val="24"/>
        </w:rPr>
      </w:pPr>
      <w:r w:rsidRPr="009E5D07">
        <w:rPr>
          <w:rFonts w:ascii="Times New Roman" w:eastAsia="Times New Roman" w:hAnsi="Times New Roman" w:cs="Times New Roman"/>
          <w:color w:val="000000" w:themeColor="text1"/>
          <w:sz w:val="24"/>
          <w:szCs w:val="24"/>
        </w:rPr>
        <w:t>O</w:t>
      </w:r>
      <w:r w:rsidR="5725D364" w:rsidRPr="009E5D07">
        <w:rPr>
          <w:rFonts w:ascii="Times New Roman" w:eastAsia="Times New Roman" w:hAnsi="Times New Roman" w:cs="Times New Roman"/>
          <w:color w:val="000000" w:themeColor="text1"/>
          <w:sz w:val="24"/>
          <w:szCs w:val="24"/>
        </w:rPr>
        <w:t>btains information or biospecimens through intervention or interaction with the individual, and uses, studies, or analyzes the information or biospecimens; or</w:t>
      </w:r>
    </w:p>
    <w:p w14:paraId="6BD6EBF5" w14:textId="1728EBEF" w:rsidR="5725D364" w:rsidRPr="009E5D07" w:rsidRDefault="007044BE" w:rsidP="00522817">
      <w:pPr>
        <w:pStyle w:val="ListParagraph"/>
        <w:numPr>
          <w:ilvl w:val="0"/>
          <w:numId w:val="7"/>
        </w:numPr>
        <w:spacing w:line="240" w:lineRule="auto"/>
        <w:jc w:val="both"/>
        <w:rPr>
          <w:rFonts w:ascii="Times New Roman" w:eastAsia="Times New Roman" w:hAnsi="Times New Roman" w:cs="Times New Roman"/>
          <w:color w:val="000000" w:themeColor="text1"/>
          <w:sz w:val="24"/>
          <w:szCs w:val="24"/>
        </w:rPr>
      </w:pPr>
      <w:r w:rsidRPr="009E5D07">
        <w:rPr>
          <w:rFonts w:ascii="Times New Roman" w:hAnsi="Times New Roman" w:cs="Times New Roman"/>
          <w:sz w:val="24"/>
          <w:szCs w:val="24"/>
        </w:rPr>
        <w:t>O</w:t>
      </w:r>
      <w:r w:rsidR="5725D364" w:rsidRPr="009E5D07">
        <w:rPr>
          <w:rFonts w:ascii="Times New Roman" w:eastAsia="Times New Roman" w:hAnsi="Times New Roman" w:cs="Times New Roman"/>
          <w:color w:val="000000" w:themeColor="text1"/>
          <w:sz w:val="24"/>
          <w:szCs w:val="24"/>
        </w:rPr>
        <w:t>btains, uses, studies, analyzes, or generates identifiable private information or identifiable biospecimens.</w:t>
      </w:r>
    </w:p>
    <w:p w14:paraId="3AC46F8C" w14:textId="580AC376" w:rsidR="00E94088" w:rsidRPr="009E5D07" w:rsidRDefault="00B337B2" w:rsidP="00B337B2">
      <w:pPr>
        <w:spacing w:line="240" w:lineRule="auto"/>
        <w:jc w:val="both"/>
        <w:rPr>
          <w:rFonts w:ascii="Times New Roman" w:eastAsia="Times New Roman" w:hAnsi="Times New Roman" w:cs="Times New Roman"/>
          <w:b/>
          <w:color w:val="000000" w:themeColor="text1"/>
          <w:sz w:val="24"/>
          <w:szCs w:val="24"/>
        </w:rPr>
      </w:pPr>
      <w:r w:rsidRPr="009E5D07">
        <w:rPr>
          <w:rFonts w:ascii="Times New Roman" w:eastAsia="Times New Roman" w:hAnsi="Times New Roman" w:cs="Times New Roman"/>
          <w:b/>
          <w:color w:val="000000" w:themeColor="text1"/>
          <w:sz w:val="24"/>
          <w:szCs w:val="24"/>
        </w:rPr>
        <w:t>B.</w:t>
      </w:r>
      <w:r w:rsidRPr="009E5D07">
        <w:rPr>
          <w:rFonts w:ascii="Times New Roman" w:eastAsia="Times New Roman" w:hAnsi="Times New Roman" w:cs="Times New Roman"/>
          <w:color w:val="000000" w:themeColor="text1"/>
          <w:sz w:val="24"/>
          <w:szCs w:val="24"/>
        </w:rPr>
        <w:t xml:space="preserve"> </w:t>
      </w:r>
      <w:r w:rsidR="00E94088" w:rsidRPr="009E5D07">
        <w:rPr>
          <w:rFonts w:ascii="Times New Roman" w:eastAsia="Times New Roman" w:hAnsi="Times New Roman" w:cs="Times New Roman"/>
          <w:b/>
          <w:color w:val="000000" w:themeColor="text1"/>
          <w:sz w:val="24"/>
          <w:szCs w:val="24"/>
        </w:rPr>
        <w:t>Research</w:t>
      </w:r>
    </w:p>
    <w:p w14:paraId="17EFE39A" w14:textId="5BE9FE0F" w:rsidR="00B337B2" w:rsidRPr="009E5D07" w:rsidRDefault="00B337B2" w:rsidP="00B337B2">
      <w:pPr>
        <w:spacing w:line="240" w:lineRule="auto"/>
        <w:jc w:val="both"/>
        <w:rPr>
          <w:rFonts w:ascii="Times New Roman" w:eastAsia="Times New Roman" w:hAnsi="Times New Roman" w:cs="Times New Roman"/>
          <w:color w:val="000000" w:themeColor="text1"/>
          <w:sz w:val="24"/>
          <w:szCs w:val="24"/>
        </w:rPr>
      </w:pPr>
      <w:r w:rsidRPr="009E5D07">
        <w:rPr>
          <w:rFonts w:ascii="Times New Roman" w:eastAsia="Times New Roman" w:hAnsi="Times New Roman" w:cs="Times New Roman"/>
          <w:color w:val="000000" w:themeColor="text1"/>
          <w:sz w:val="24"/>
          <w:szCs w:val="24"/>
        </w:rPr>
        <w:t>According to 45 CFR 46.102(I), research is “</w:t>
      </w:r>
      <w:r w:rsidRPr="009E5D07">
        <w:rPr>
          <w:rFonts w:ascii="Times New Roman" w:hAnsi="Times New Roman" w:cs="Times New Roman"/>
          <w:color w:val="4B4B4B"/>
          <w:sz w:val="24"/>
          <w:szCs w:val="24"/>
          <w:shd w:val="clear" w:color="auto" w:fill="FFFFFF"/>
        </w:rPr>
        <w:t>a systematic investigation including research development, testing and evaluation, designed to develop or contribute to generalizable knowledge</w:t>
      </w:r>
      <w:r w:rsidR="00B97743" w:rsidRPr="009E5D07">
        <w:rPr>
          <w:rFonts w:ascii="Times New Roman" w:hAnsi="Times New Roman" w:cs="Times New Roman"/>
          <w:color w:val="4B4B4B"/>
          <w:sz w:val="24"/>
          <w:szCs w:val="24"/>
          <w:shd w:val="clear" w:color="auto" w:fill="FFFFFF"/>
        </w:rPr>
        <w:t>”</w:t>
      </w:r>
      <w:r w:rsidRPr="009E5D07">
        <w:rPr>
          <w:rFonts w:ascii="Times New Roman" w:hAnsi="Times New Roman" w:cs="Times New Roman"/>
          <w:color w:val="4B4B4B"/>
          <w:sz w:val="24"/>
          <w:szCs w:val="24"/>
          <w:shd w:val="clear" w:color="auto" w:fill="FFFFFF"/>
        </w:rPr>
        <w:t xml:space="preserve"> (Protection of Human Subjects 2017).</w:t>
      </w:r>
    </w:p>
    <w:p w14:paraId="071DA757" w14:textId="0051E051" w:rsidR="2A82F159" w:rsidRPr="009E5D07" w:rsidRDefault="00B337B2" w:rsidP="00522817">
      <w:pPr>
        <w:spacing w:line="240" w:lineRule="auto"/>
        <w:jc w:val="both"/>
        <w:rPr>
          <w:rFonts w:ascii="Times New Roman" w:eastAsia="Times New Roman" w:hAnsi="Times New Roman" w:cs="Times New Roman"/>
          <w:b/>
          <w:bCs/>
          <w:sz w:val="24"/>
          <w:szCs w:val="24"/>
        </w:rPr>
      </w:pPr>
      <w:r w:rsidRPr="009E5D07">
        <w:rPr>
          <w:rFonts w:ascii="Times New Roman" w:eastAsia="Times New Roman" w:hAnsi="Times New Roman" w:cs="Times New Roman"/>
          <w:b/>
          <w:bCs/>
          <w:sz w:val="24"/>
          <w:szCs w:val="24"/>
        </w:rPr>
        <w:t>C</w:t>
      </w:r>
      <w:r w:rsidR="2A82F159" w:rsidRPr="009E5D07">
        <w:rPr>
          <w:rFonts w:ascii="Times New Roman" w:eastAsia="Times New Roman" w:hAnsi="Times New Roman" w:cs="Times New Roman"/>
          <w:b/>
          <w:bCs/>
          <w:sz w:val="24"/>
          <w:szCs w:val="24"/>
        </w:rPr>
        <w:t>. Noncompliance</w:t>
      </w:r>
    </w:p>
    <w:p w14:paraId="19509201" w14:textId="5D0DF2DB" w:rsidR="72A1141F" w:rsidRPr="009E5D07" w:rsidRDefault="00800F63" w:rsidP="00522817">
      <w:pPr>
        <w:spacing w:line="240" w:lineRule="auto"/>
        <w:jc w:val="both"/>
        <w:rPr>
          <w:rFonts w:ascii="Times New Roman" w:eastAsia="Times New Roman" w:hAnsi="Times New Roman" w:cs="Times New Roman"/>
          <w:sz w:val="24"/>
          <w:szCs w:val="24"/>
        </w:rPr>
      </w:pPr>
      <w:r w:rsidRPr="009E5D07">
        <w:rPr>
          <w:rFonts w:ascii="Times New Roman" w:eastAsia="Times New Roman" w:hAnsi="Times New Roman" w:cs="Times New Roman"/>
          <w:sz w:val="24"/>
          <w:szCs w:val="24"/>
        </w:rPr>
        <w:lastRenderedPageBreak/>
        <w:t>Noncompliance is defined as a</w:t>
      </w:r>
      <w:r w:rsidR="72A1141F" w:rsidRPr="009E5D07">
        <w:rPr>
          <w:rFonts w:ascii="Times New Roman" w:eastAsia="Times New Roman" w:hAnsi="Times New Roman" w:cs="Times New Roman"/>
          <w:sz w:val="24"/>
          <w:szCs w:val="24"/>
        </w:rPr>
        <w:t xml:space="preserve"> failure to adhere to laws, regulations, policies, and procedures during the course of human subjects research. Noncompliance may range from relatively minor administrative violations to serious violations that pose risks to human subjects or violate the subject’s rights.</w:t>
      </w:r>
    </w:p>
    <w:p w14:paraId="2D222B2D" w14:textId="77777777" w:rsidR="00800F63" w:rsidRPr="009E5D07" w:rsidRDefault="00800F63" w:rsidP="00522817">
      <w:pPr>
        <w:spacing w:line="240" w:lineRule="auto"/>
        <w:jc w:val="both"/>
        <w:rPr>
          <w:rFonts w:ascii="Times New Roman" w:eastAsia="Times New Roman" w:hAnsi="Times New Roman" w:cs="Times New Roman"/>
          <w:sz w:val="24"/>
          <w:szCs w:val="24"/>
        </w:rPr>
      </w:pPr>
    </w:p>
    <w:p w14:paraId="152DE69B" w14:textId="778AB79A" w:rsidR="2A82F159" w:rsidRPr="009E5D07" w:rsidRDefault="00B337B2" w:rsidP="00522817">
      <w:pPr>
        <w:spacing w:line="240" w:lineRule="auto"/>
        <w:jc w:val="both"/>
        <w:rPr>
          <w:rFonts w:ascii="Times New Roman" w:eastAsia="Times New Roman" w:hAnsi="Times New Roman" w:cs="Times New Roman"/>
          <w:sz w:val="24"/>
          <w:szCs w:val="24"/>
        </w:rPr>
      </w:pPr>
      <w:r w:rsidRPr="009E5D07">
        <w:rPr>
          <w:rFonts w:ascii="Times New Roman" w:eastAsia="Times New Roman" w:hAnsi="Times New Roman" w:cs="Times New Roman"/>
          <w:b/>
          <w:bCs/>
          <w:sz w:val="24"/>
          <w:szCs w:val="24"/>
        </w:rPr>
        <w:t>D</w:t>
      </w:r>
      <w:r w:rsidR="2A82F159" w:rsidRPr="009E5D07">
        <w:rPr>
          <w:rFonts w:ascii="Times New Roman" w:eastAsia="Times New Roman" w:hAnsi="Times New Roman" w:cs="Times New Roman"/>
          <w:b/>
          <w:bCs/>
          <w:sz w:val="24"/>
          <w:szCs w:val="24"/>
        </w:rPr>
        <w:t>. Allegation of Noncompliance</w:t>
      </w:r>
    </w:p>
    <w:p w14:paraId="65FE784B" w14:textId="79168A07" w:rsidR="5725D364" w:rsidRPr="009E5D07" w:rsidRDefault="008C49FD" w:rsidP="00522817">
      <w:pPr>
        <w:spacing w:line="240" w:lineRule="auto"/>
        <w:jc w:val="both"/>
        <w:rPr>
          <w:rFonts w:ascii="Times New Roman" w:eastAsia="Times New Roman" w:hAnsi="Times New Roman" w:cs="Times New Roman"/>
          <w:b/>
          <w:bCs/>
          <w:sz w:val="24"/>
          <w:szCs w:val="24"/>
        </w:rPr>
      </w:pPr>
      <w:r w:rsidRPr="009E5D07">
        <w:rPr>
          <w:rFonts w:ascii="Times New Roman" w:eastAsia="Times New Roman" w:hAnsi="Times New Roman" w:cs="Times New Roman"/>
          <w:sz w:val="24"/>
          <w:szCs w:val="24"/>
        </w:rPr>
        <w:t>Allegation of noncompliance is defined as an</w:t>
      </w:r>
      <w:r w:rsidR="2A82F159" w:rsidRPr="009E5D07">
        <w:rPr>
          <w:rFonts w:ascii="Times New Roman" w:eastAsia="Times New Roman" w:hAnsi="Times New Roman" w:cs="Times New Roman"/>
          <w:sz w:val="24"/>
          <w:szCs w:val="24"/>
        </w:rPr>
        <w:t xml:space="preserve"> unproved assertion of noncompliance</w:t>
      </w:r>
      <w:r w:rsidRPr="009E5D07">
        <w:rPr>
          <w:rFonts w:ascii="Times New Roman" w:eastAsia="Times New Roman" w:hAnsi="Times New Roman" w:cs="Times New Roman"/>
          <w:sz w:val="24"/>
          <w:szCs w:val="24"/>
        </w:rPr>
        <w:t>.</w:t>
      </w:r>
    </w:p>
    <w:p w14:paraId="2EDC30E8" w14:textId="20BFEFD4" w:rsidR="72A1141F" w:rsidRPr="009E5D07" w:rsidRDefault="00B337B2" w:rsidP="00522817">
      <w:pPr>
        <w:spacing w:line="240" w:lineRule="auto"/>
        <w:jc w:val="both"/>
        <w:rPr>
          <w:rFonts w:ascii="Times New Roman" w:eastAsia="Times New Roman" w:hAnsi="Times New Roman" w:cs="Times New Roman"/>
          <w:sz w:val="24"/>
          <w:szCs w:val="24"/>
        </w:rPr>
      </w:pPr>
      <w:r w:rsidRPr="009E5D07">
        <w:rPr>
          <w:rFonts w:ascii="Times New Roman" w:eastAsia="Times New Roman" w:hAnsi="Times New Roman" w:cs="Times New Roman"/>
          <w:b/>
          <w:bCs/>
          <w:sz w:val="24"/>
          <w:szCs w:val="24"/>
        </w:rPr>
        <w:t>E</w:t>
      </w:r>
      <w:r w:rsidR="72A1141F" w:rsidRPr="009E5D07">
        <w:rPr>
          <w:rFonts w:ascii="Times New Roman" w:eastAsia="Times New Roman" w:hAnsi="Times New Roman" w:cs="Times New Roman"/>
          <w:b/>
          <w:bCs/>
          <w:sz w:val="24"/>
          <w:szCs w:val="24"/>
        </w:rPr>
        <w:t>. Continuing Noncompliance</w:t>
      </w:r>
      <w:r w:rsidR="72A1141F" w:rsidRPr="009E5D07">
        <w:rPr>
          <w:rFonts w:ascii="Times New Roman" w:eastAsia="Times New Roman" w:hAnsi="Times New Roman" w:cs="Times New Roman"/>
          <w:sz w:val="24"/>
          <w:szCs w:val="24"/>
        </w:rPr>
        <w:t xml:space="preserve"> </w:t>
      </w:r>
    </w:p>
    <w:p w14:paraId="4C173C88" w14:textId="0EE35BA2" w:rsidR="72A1141F" w:rsidRPr="009E5D07" w:rsidRDefault="006D3A85" w:rsidP="00522817">
      <w:pPr>
        <w:spacing w:line="240" w:lineRule="auto"/>
        <w:jc w:val="both"/>
        <w:rPr>
          <w:rFonts w:ascii="Times New Roman" w:eastAsia="Times New Roman" w:hAnsi="Times New Roman" w:cs="Times New Roman"/>
          <w:sz w:val="24"/>
          <w:szCs w:val="24"/>
        </w:rPr>
      </w:pPr>
      <w:r w:rsidRPr="009E5D07">
        <w:rPr>
          <w:rFonts w:ascii="Times New Roman" w:eastAsia="Times New Roman" w:hAnsi="Times New Roman" w:cs="Times New Roman"/>
          <w:sz w:val="24"/>
          <w:szCs w:val="24"/>
        </w:rPr>
        <w:t>Continuing noncompliance is defined as r</w:t>
      </w:r>
      <w:r w:rsidR="2A82F159" w:rsidRPr="009E5D07">
        <w:rPr>
          <w:rFonts w:ascii="Times New Roman" w:eastAsia="Times New Roman" w:hAnsi="Times New Roman" w:cs="Times New Roman"/>
          <w:sz w:val="24"/>
          <w:szCs w:val="24"/>
        </w:rPr>
        <w:t xml:space="preserve">epeated instances of noncompliance by the same investigator.  </w:t>
      </w:r>
      <w:r w:rsidR="2A82F159" w:rsidRPr="009E5D07">
        <w:rPr>
          <w:rFonts w:ascii="Times New Roman" w:eastAsia="Times New Roman" w:hAnsi="Times New Roman" w:cs="Times New Roman"/>
          <w:i/>
          <w:iCs/>
          <w:sz w:val="24"/>
          <w:szCs w:val="24"/>
        </w:rPr>
        <w:t>Repeated instances</w:t>
      </w:r>
      <w:r w:rsidR="009612D1" w:rsidRPr="009E5D07">
        <w:rPr>
          <w:rFonts w:ascii="Times New Roman" w:eastAsia="Times New Roman" w:hAnsi="Times New Roman" w:cs="Times New Roman"/>
          <w:sz w:val="24"/>
          <w:szCs w:val="24"/>
        </w:rPr>
        <w:t xml:space="preserve"> refers to either </w:t>
      </w:r>
      <w:r w:rsidR="2A82F159" w:rsidRPr="009E5D07">
        <w:rPr>
          <w:rFonts w:ascii="Times New Roman" w:eastAsia="Times New Roman" w:hAnsi="Times New Roman" w:cs="Times New Roman"/>
          <w:sz w:val="24"/>
          <w:szCs w:val="24"/>
        </w:rPr>
        <w:t xml:space="preserve">a </w:t>
      </w:r>
      <w:r w:rsidR="009612D1" w:rsidRPr="009E5D07">
        <w:rPr>
          <w:rFonts w:ascii="Times New Roman" w:eastAsia="Times New Roman" w:hAnsi="Times New Roman" w:cs="Times New Roman"/>
          <w:sz w:val="24"/>
          <w:szCs w:val="24"/>
        </w:rPr>
        <w:t>non</w:t>
      </w:r>
      <w:r w:rsidR="2A82F159" w:rsidRPr="009E5D07">
        <w:rPr>
          <w:rFonts w:ascii="Times New Roman" w:eastAsia="Times New Roman" w:hAnsi="Times New Roman" w:cs="Times New Roman"/>
          <w:sz w:val="24"/>
          <w:szCs w:val="24"/>
        </w:rPr>
        <w:t>compliant activity occurring multiple times with the same study or a noncompliant activity occurring once in multiple studies.  Such repetition, if unaddressed, may affect the protection of human research subjects.</w:t>
      </w:r>
    </w:p>
    <w:p w14:paraId="16734D68" w14:textId="71496C25" w:rsidR="72A1141F" w:rsidRPr="009E5D07" w:rsidRDefault="72A1141F" w:rsidP="00522817">
      <w:pPr>
        <w:spacing w:line="240" w:lineRule="auto"/>
        <w:jc w:val="both"/>
        <w:rPr>
          <w:rFonts w:ascii="Times New Roman" w:hAnsi="Times New Roman" w:cs="Times New Roman"/>
          <w:sz w:val="24"/>
          <w:szCs w:val="24"/>
        </w:rPr>
      </w:pPr>
      <w:r w:rsidRPr="009E5D07">
        <w:rPr>
          <w:rFonts w:ascii="Times New Roman" w:eastAsia="Times New Roman" w:hAnsi="Times New Roman" w:cs="Times New Roman"/>
          <w:sz w:val="24"/>
          <w:szCs w:val="24"/>
        </w:rPr>
        <w:t xml:space="preserve"> </w:t>
      </w:r>
    </w:p>
    <w:p w14:paraId="06A1CB33" w14:textId="52986BC7" w:rsidR="72A1141F" w:rsidRPr="009E5D07" w:rsidRDefault="00B337B2" w:rsidP="00522817">
      <w:pPr>
        <w:spacing w:line="240" w:lineRule="auto"/>
        <w:jc w:val="both"/>
        <w:rPr>
          <w:rFonts w:ascii="Times New Roman" w:eastAsia="Times New Roman" w:hAnsi="Times New Roman" w:cs="Times New Roman"/>
          <w:sz w:val="24"/>
          <w:szCs w:val="24"/>
        </w:rPr>
      </w:pPr>
      <w:r w:rsidRPr="009E5D07">
        <w:rPr>
          <w:rFonts w:ascii="Times New Roman" w:eastAsia="Times New Roman" w:hAnsi="Times New Roman" w:cs="Times New Roman"/>
          <w:b/>
          <w:bCs/>
          <w:sz w:val="24"/>
          <w:szCs w:val="24"/>
        </w:rPr>
        <w:t>F</w:t>
      </w:r>
      <w:r w:rsidR="2A82F159" w:rsidRPr="009E5D07">
        <w:rPr>
          <w:rFonts w:ascii="Times New Roman" w:eastAsia="Times New Roman" w:hAnsi="Times New Roman" w:cs="Times New Roman"/>
          <w:b/>
          <w:bCs/>
          <w:sz w:val="24"/>
          <w:szCs w:val="24"/>
        </w:rPr>
        <w:t>. Minor Noncompliance</w:t>
      </w:r>
    </w:p>
    <w:p w14:paraId="70D3A630" w14:textId="55B2056C" w:rsidR="72A1141F" w:rsidRPr="009E5D07" w:rsidRDefault="009612D1" w:rsidP="00522817">
      <w:pPr>
        <w:spacing w:line="240" w:lineRule="auto"/>
        <w:jc w:val="both"/>
        <w:rPr>
          <w:rFonts w:ascii="Times New Roman" w:eastAsia="Times New Roman" w:hAnsi="Times New Roman" w:cs="Times New Roman"/>
          <w:b/>
          <w:bCs/>
          <w:sz w:val="24"/>
          <w:szCs w:val="24"/>
        </w:rPr>
      </w:pPr>
      <w:r w:rsidRPr="009E5D07">
        <w:rPr>
          <w:rFonts w:ascii="Times New Roman" w:eastAsia="Times New Roman" w:hAnsi="Times New Roman" w:cs="Times New Roman"/>
          <w:sz w:val="24"/>
          <w:szCs w:val="24"/>
        </w:rPr>
        <w:t>Minor noncompliance is defined as n</w:t>
      </w:r>
      <w:r w:rsidR="72A1141F" w:rsidRPr="009E5D07">
        <w:rPr>
          <w:rFonts w:ascii="Times New Roman" w:eastAsia="Times New Roman" w:hAnsi="Times New Roman" w:cs="Times New Roman"/>
          <w:sz w:val="24"/>
          <w:szCs w:val="24"/>
        </w:rPr>
        <w:t>oncompliance that does not increase risk to subjects, such as an administrative inconsistency from the methods and procedures approved by the IRB. Examples of minor noncompliance include</w:t>
      </w:r>
      <w:r w:rsidRPr="009E5D07">
        <w:rPr>
          <w:rFonts w:ascii="Times New Roman" w:eastAsia="Times New Roman" w:hAnsi="Times New Roman" w:cs="Times New Roman"/>
          <w:sz w:val="24"/>
          <w:szCs w:val="24"/>
        </w:rPr>
        <w:t>,</w:t>
      </w:r>
      <w:r w:rsidR="72A1141F" w:rsidRPr="009E5D07">
        <w:rPr>
          <w:rFonts w:ascii="Times New Roman" w:eastAsia="Times New Roman" w:hAnsi="Times New Roman" w:cs="Times New Roman"/>
          <w:sz w:val="24"/>
          <w:szCs w:val="24"/>
        </w:rPr>
        <w:t xml:space="preserve"> but are not limited to:</w:t>
      </w:r>
    </w:p>
    <w:p w14:paraId="212F8FC4" w14:textId="40FC1B7C" w:rsidR="009612D1" w:rsidRPr="009E5D07" w:rsidRDefault="007044BE" w:rsidP="00522817">
      <w:pPr>
        <w:pStyle w:val="ListParagraph"/>
        <w:numPr>
          <w:ilvl w:val="0"/>
          <w:numId w:val="8"/>
        </w:numPr>
        <w:spacing w:line="240" w:lineRule="auto"/>
        <w:jc w:val="both"/>
        <w:rPr>
          <w:rFonts w:ascii="Times New Roman" w:eastAsia="Times New Roman" w:hAnsi="Times New Roman" w:cs="Times New Roman"/>
          <w:sz w:val="24"/>
          <w:szCs w:val="24"/>
        </w:rPr>
      </w:pPr>
      <w:r w:rsidRPr="009E5D07">
        <w:rPr>
          <w:rFonts w:ascii="Times New Roman" w:eastAsia="Times New Roman" w:hAnsi="Times New Roman" w:cs="Times New Roman"/>
          <w:sz w:val="24"/>
          <w:szCs w:val="24"/>
        </w:rPr>
        <w:t>F</w:t>
      </w:r>
      <w:r w:rsidR="144C6054" w:rsidRPr="009E5D07">
        <w:rPr>
          <w:rFonts w:ascii="Times New Roman" w:eastAsia="Times New Roman" w:hAnsi="Times New Roman" w:cs="Times New Roman"/>
          <w:sz w:val="24"/>
          <w:szCs w:val="24"/>
        </w:rPr>
        <w:t xml:space="preserve">ailing to use the official </w:t>
      </w:r>
      <w:r w:rsidR="009612D1" w:rsidRPr="009E5D07">
        <w:rPr>
          <w:rFonts w:ascii="Times New Roman" w:eastAsia="Times New Roman" w:hAnsi="Times New Roman" w:cs="Times New Roman"/>
          <w:sz w:val="24"/>
          <w:szCs w:val="24"/>
        </w:rPr>
        <w:t>IRB-approved (</w:t>
      </w:r>
      <w:r w:rsidR="144C6054" w:rsidRPr="009E5D07">
        <w:rPr>
          <w:rFonts w:ascii="Times New Roman" w:eastAsia="Times New Roman" w:hAnsi="Times New Roman" w:cs="Times New Roman"/>
          <w:sz w:val="24"/>
          <w:szCs w:val="24"/>
        </w:rPr>
        <w:t>stamped</w:t>
      </w:r>
      <w:r w:rsidR="009612D1" w:rsidRPr="009E5D07">
        <w:rPr>
          <w:rFonts w:ascii="Times New Roman" w:eastAsia="Times New Roman" w:hAnsi="Times New Roman" w:cs="Times New Roman"/>
          <w:sz w:val="24"/>
          <w:szCs w:val="24"/>
        </w:rPr>
        <w:t>)</w:t>
      </w:r>
      <w:r w:rsidR="144C6054" w:rsidRPr="009E5D07">
        <w:rPr>
          <w:rFonts w:ascii="Times New Roman" w:eastAsia="Times New Roman" w:hAnsi="Times New Roman" w:cs="Times New Roman"/>
          <w:sz w:val="24"/>
          <w:szCs w:val="24"/>
        </w:rPr>
        <w:t xml:space="preserve"> consent form,</w:t>
      </w:r>
      <w:r w:rsidRPr="009E5D07">
        <w:rPr>
          <w:rFonts w:ascii="Times New Roman" w:eastAsia="Times New Roman" w:hAnsi="Times New Roman" w:cs="Times New Roman"/>
          <w:sz w:val="24"/>
          <w:szCs w:val="24"/>
        </w:rPr>
        <w:t xml:space="preserve"> </w:t>
      </w:r>
      <w:r w:rsidR="144C6054" w:rsidRPr="009E5D07">
        <w:rPr>
          <w:rFonts w:ascii="Times New Roman" w:eastAsia="Times New Roman" w:hAnsi="Times New Roman" w:cs="Times New Roman"/>
          <w:sz w:val="24"/>
          <w:szCs w:val="24"/>
        </w:rPr>
        <w:t>but using a version otherwise identical to the official stamped version.  We anticipate introducing a stamped consent form in January 2023.</w:t>
      </w:r>
    </w:p>
    <w:p w14:paraId="11BC3EC6" w14:textId="4CCC8269" w:rsidR="2A82F159" w:rsidRPr="009E5D07" w:rsidRDefault="007044BE" w:rsidP="00522817">
      <w:pPr>
        <w:pStyle w:val="ListParagraph"/>
        <w:numPr>
          <w:ilvl w:val="0"/>
          <w:numId w:val="8"/>
        </w:numPr>
        <w:spacing w:line="240" w:lineRule="auto"/>
        <w:jc w:val="both"/>
        <w:rPr>
          <w:rFonts w:ascii="Times New Roman" w:eastAsia="Times New Roman" w:hAnsi="Times New Roman" w:cs="Times New Roman"/>
          <w:sz w:val="24"/>
          <w:szCs w:val="24"/>
        </w:rPr>
      </w:pPr>
      <w:r w:rsidRPr="009E5D07">
        <w:rPr>
          <w:rFonts w:ascii="Times New Roman" w:eastAsia="Times New Roman" w:hAnsi="Times New Roman" w:cs="Times New Roman"/>
          <w:sz w:val="24"/>
          <w:szCs w:val="24"/>
        </w:rPr>
        <w:t>F</w:t>
      </w:r>
      <w:r w:rsidR="72A1141F" w:rsidRPr="009E5D07">
        <w:rPr>
          <w:rFonts w:ascii="Times New Roman" w:eastAsia="Times New Roman" w:hAnsi="Times New Roman" w:cs="Times New Roman"/>
          <w:sz w:val="24"/>
          <w:szCs w:val="24"/>
        </w:rPr>
        <w:t>ailing to submit continuing review forms prior to lapse in IRB approval when study was otherwise inactive.</w:t>
      </w:r>
    </w:p>
    <w:p w14:paraId="5CB3CEEF" w14:textId="77777777" w:rsidR="00522817" w:rsidRPr="009E5D07" w:rsidRDefault="00522817" w:rsidP="00522817">
      <w:pPr>
        <w:pStyle w:val="ListParagraph"/>
        <w:spacing w:line="240" w:lineRule="auto"/>
        <w:jc w:val="both"/>
        <w:rPr>
          <w:rFonts w:ascii="Times New Roman" w:eastAsia="Times New Roman" w:hAnsi="Times New Roman" w:cs="Times New Roman"/>
          <w:sz w:val="24"/>
          <w:szCs w:val="24"/>
        </w:rPr>
      </w:pPr>
    </w:p>
    <w:p w14:paraId="6BE47444" w14:textId="0407B190" w:rsidR="72A1141F" w:rsidRPr="009E5D07" w:rsidRDefault="00B337B2" w:rsidP="00522817">
      <w:pPr>
        <w:spacing w:line="240" w:lineRule="auto"/>
        <w:ind w:left="360" w:hanging="360"/>
        <w:jc w:val="both"/>
        <w:rPr>
          <w:rFonts w:ascii="Times New Roman" w:eastAsia="Times New Roman" w:hAnsi="Times New Roman" w:cs="Times New Roman"/>
          <w:sz w:val="24"/>
          <w:szCs w:val="24"/>
        </w:rPr>
      </w:pPr>
      <w:r w:rsidRPr="009E5D07">
        <w:rPr>
          <w:rFonts w:ascii="Times New Roman" w:eastAsia="Times New Roman" w:hAnsi="Times New Roman" w:cs="Times New Roman"/>
          <w:b/>
          <w:bCs/>
          <w:sz w:val="24"/>
          <w:szCs w:val="24"/>
        </w:rPr>
        <w:t>G</w:t>
      </w:r>
      <w:r w:rsidR="2A82F159" w:rsidRPr="009E5D07">
        <w:rPr>
          <w:rFonts w:ascii="Times New Roman" w:eastAsia="Times New Roman" w:hAnsi="Times New Roman" w:cs="Times New Roman"/>
          <w:b/>
          <w:bCs/>
          <w:sz w:val="24"/>
          <w:szCs w:val="24"/>
        </w:rPr>
        <w:t>. Serious Noncompliance</w:t>
      </w:r>
    </w:p>
    <w:p w14:paraId="5B211E02" w14:textId="64FE42FF" w:rsidR="72A1141F" w:rsidRPr="009E5D07" w:rsidRDefault="00474FA1" w:rsidP="00522817">
      <w:pPr>
        <w:spacing w:line="240" w:lineRule="auto"/>
        <w:jc w:val="both"/>
        <w:rPr>
          <w:rFonts w:ascii="Times New Roman" w:eastAsia="Times New Roman" w:hAnsi="Times New Roman" w:cs="Times New Roman"/>
          <w:sz w:val="24"/>
          <w:szCs w:val="24"/>
        </w:rPr>
      </w:pPr>
      <w:r w:rsidRPr="009E5D07">
        <w:rPr>
          <w:rFonts w:ascii="Times New Roman" w:eastAsia="Times New Roman" w:hAnsi="Times New Roman" w:cs="Times New Roman"/>
          <w:sz w:val="24"/>
          <w:szCs w:val="24"/>
        </w:rPr>
        <w:t>Serious noncompliance is defined as i</w:t>
      </w:r>
      <w:r w:rsidR="72A1141F" w:rsidRPr="009E5D07">
        <w:rPr>
          <w:rFonts w:ascii="Times New Roman" w:eastAsia="Times New Roman" w:hAnsi="Times New Roman" w:cs="Times New Roman"/>
          <w:sz w:val="24"/>
          <w:szCs w:val="24"/>
        </w:rPr>
        <w:t>nstances that pose an actual, or potential, risk to the safety, rights</w:t>
      </w:r>
      <w:r w:rsidRPr="009E5D07">
        <w:rPr>
          <w:rFonts w:ascii="Times New Roman" w:eastAsia="Times New Roman" w:hAnsi="Times New Roman" w:cs="Times New Roman"/>
          <w:sz w:val="24"/>
          <w:szCs w:val="24"/>
        </w:rPr>
        <w:t>,</w:t>
      </w:r>
      <w:r w:rsidR="72A1141F" w:rsidRPr="009E5D07">
        <w:rPr>
          <w:rFonts w:ascii="Times New Roman" w:eastAsia="Times New Roman" w:hAnsi="Times New Roman" w:cs="Times New Roman"/>
          <w:sz w:val="24"/>
          <w:szCs w:val="24"/>
        </w:rPr>
        <w:t xml:space="preserve"> and/or welfare of human research subjects. Examples of serious noncompliance include, but are not limited to:</w:t>
      </w:r>
    </w:p>
    <w:p w14:paraId="06ACBA5B" w14:textId="5EFA6560" w:rsidR="00474FA1" w:rsidRPr="009E5D07" w:rsidRDefault="00474FA1" w:rsidP="00522817">
      <w:pPr>
        <w:pStyle w:val="ListParagraph"/>
        <w:numPr>
          <w:ilvl w:val="0"/>
          <w:numId w:val="10"/>
        </w:numPr>
        <w:spacing w:line="240" w:lineRule="auto"/>
        <w:jc w:val="both"/>
        <w:rPr>
          <w:rFonts w:ascii="Times New Roman" w:eastAsia="Times New Roman" w:hAnsi="Times New Roman" w:cs="Times New Roman"/>
          <w:sz w:val="24"/>
          <w:szCs w:val="24"/>
        </w:rPr>
      </w:pPr>
      <w:r w:rsidRPr="009E5D07">
        <w:rPr>
          <w:rFonts w:ascii="Times New Roman" w:eastAsia="Times New Roman" w:hAnsi="Times New Roman" w:cs="Times New Roman"/>
          <w:sz w:val="24"/>
          <w:szCs w:val="24"/>
        </w:rPr>
        <w:t>C</w:t>
      </w:r>
      <w:r w:rsidR="72A1141F" w:rsidRPr="009E5D07">
        <w:rPr>
          <w:rFonts w:ascii="Times New Roman" w:eastAsia="Times New Roman" w:hAnsi="Times New Roman" w:cs="Times New Roman"/>
          <w:sz w:val="24"/>
          <w:szCs w:val="24"/>
        </w:rPr>
        <w:t>onducting human subjects research without UNCP IRB review</w:t>
      </w:r>
      <w:r w:rsidRPr="009E5D07">
        <w:rPr>
          <w:rFonts w:ascii="Times New Roman" w:eastAsia="Times New Roman" w:hAnsi="Times New Roman" w:cs="Times New Roman"/>
          <w:sz w:val="24"/>
          <w:szCs w:val="24"/>
        </w:rPr>
        <w:t>.</w:t>
      </w:r>
    </w:p>
    <w:p w14:paraId="27FB1B55" w14:textId="0A4D09A2" w:rsidR="00474FA1" w:rsidRPr="009E5D07" w:rsidRDefault="00474FA1" w:rsidP="00522817">
      <w:pPr>
        <w:pStyle w:val="ListParagraph"/>
        <w:numPr>
          <w:ilvl w:val="0"/>
          <w:numId w:val="10"/>
        </w:numPr>
        <w:spacing w:line="240" w:lineRule="auto"/>
        <w:jc w:val="both"/>
        <w:rPr>
          <w:rFonts w:ascii="Times New Roman" w:eastAsia="Times New Roman" w:hAnsi="Times New Roman" w:cs="Times New Roman"/>
          <w:sz w:val="24"/>
          <w:szCs w:val="24"/>
        </w:rPr>
      </w:pPr>
      <w:r w:rsidRPr="009E5D07">
        <w:rPr>
          <w:rFonts w:ascii="Times New Roman" w:eastAsia="Times New Roman" w:hAnsi="Times New Roman" w:cs="Times New Roman"/>
          <w:sz w:val="24"/>
          <w:szCs w:val="24"/>
        </w:rPr>
        <w:t>E</w:t>
      </w:r>
      <w:r w:rsidR="72A1141F" w:rsidRPr="009E5D07">
        <w:rPr>
          <w:rFonts w:ascii="Times New Roman" w:eastAsia="Times New Roman" w:hAnsi="Times New Roman" w:cs="Times New Roman"/>
          <w:sz w:val="24"/>
          <w:szCs w:val="24"/>
        </w:rPr>
        <w:t>nrollment of subjects that fail to meet the inclusion or exclusion criteria of the approved study</w:t>
      </w:r>
      <w:r w:rsidRPr="009E5D07">
        <w:rPr>
          <w:rFonts w:ascii="Times New Roman" w:eastAsia="Times New Roman" w:hAnsi="Times New Roman" w:cs="Times New Roman"/>
          <w:sz w:val="24"/>
          <w:szCs w:val="24"/>
        </w:rPr>
        <w:t>.</w:t>
      </w:r>
    </w:p>
    <w:p w14:paraId="44438F2F" w14:textId="48774087" w:rsidR="00474FA1" w:rsidRPr="009E5D07" w:rsidRDefault="00474FA1" w:rsidP="00522817">
      <w:pPr>
        <w:pStyle w:val="ListParagraph"/>
        <w:numPr>
          <w:ilvl w:val="0"/>
          <w:numId w:val="10"/>
        </w:numPr>
        <w:spacing w:line="240" w:lineRule="auto"/>
        <w:jc w:val="both"/>
        <w:rPr>
          <w:rFonts w:ascii="Times New Roman" w:eastAsia="Times New Roman" w:hAnsi="Times New Roman" w:cs="Times New Roman"/>
          <w:sz w:val="24"/>
          <w:szCs w:val="24"/>
        </w:rPr>
      </w:pPr>
      <w:r w:rsidRPr="009E5D07">
        <w:rPr>
          <w:rFonts w:ascii="Times New Roman" w:eastAsia="Times New Roman" w:hAnsi="Times New Roman" w:cs="Times New Roman"/>
          <w:sz w:val="24"/>
          <w:szCs w:val="24"/>
        </w:rPr>
        <w:t>E</w:t>
      </w:r>
      <w:r w:rsidR="72A1141F" w:rsidRPr="009E5D07">
        <w:rPr>
          <w:rFonts w:ascii="Times New Roman" w:eastAsia="Times New Roman" w:hAnsi="Times New Roman" w:cs="Times New Roman"/>
          <w:sz w:val="24"/>
          <w:szCs w:val="24"/>
        </w:rPr>
        <w:t>nrollment of subjects while study approval has lapsed</w:t>
      </w:r>
      <w:r w:rsidRPr="009E5D07">
        <w:rPr>
          <w:rFonts w:ascii="Times New Roman" w:eastAsia="Times New Roman" w:hAnsi="Times New Roman" w:cs="Times New Roman"/>
          <w:sz w:val="24"/>
          <w:szCs w:val="24"/>
        </w:rPr>
        <w:t>.</w:t>
      </w:r>
    </w:p>
    <w:p w14:paraId="7ECDF37C" w14:textId="21F3491F" w:rsidR="00474FA1" w:rsidRPr="009E5D07" w:rsidRDefault="72A1141F" w:rsidP="00522817">
      <w:pPr>
        <w:pStyle w:val="ListParagraph"/>
        <w:numPr>
          <w:ilvl w:val="0"/>
          <w:numId w:val="10"/>
        </w:numPr>
        <w:spacing w:line="240" w:lineRule="auto"/>
        <w:jc w:val="both"/>
        <w:rPr>
          <w:rFonts w:ascii="Times New Roman" w:eastAsia="Times New Roman" w:hAnsi="Times New Roman" w:cs="Times New Roman"/>
          <w:sz w:val="24"/>
          <w:szCs w:val="24"/>
        </w:rPr>
      </w:pPr>
      <w:r w:rsidRPr="009E5D07">
        <w:rPr>
          <w:rFonts w:ascii="Times New Roman" w:eastAsia="Times New Roman" w:hAnsi="Times New Roman" w:cs="Times New Roman"/>
          <w:sz w:val="24"/>
          <w:szCs w:val="24"/>
        </w:rPr>
        <w:t>Failing to provide all relevant sections of the informed consent form to subjects</w:t>
      </w:r>
      <w:r w:rsidR="00474FA1" w:rsidRPr="009E5D07">
        <w:rPr>
          <w:rFonts w:ascii="Times New Roman" w:eastAsia="Times New Roman" w:hAnsi="Times New Roman" w:cs="Times New Roman"/>
          <w:sz w:val="24"/>
          <w:szCs w:val="24"/>
        </w:rPr>
        <w:t>.</w:t>
      </w:r>
    </w:p>
    <w:p w14:paraId="725C9B4F" w14:textId="0EB042D7" w:rsidR="72A1141F" w:rsidRPr="009E5D07" w:rsidRDefault="72A1141F" w:rsidP="00522817">
      <w:pPr>
        <w:pStyle w:val="ListParagraph"/>
        <w:numPr>
          <w:ilvl w:val="0"/>
          <w:numId w:val="10"/>
        </w:numPr>
        <w:spacing w:line="240" w:lineRule="auto"/>
        <w:jc w:val="both"/>
        <w:rPr>
          <w:rFonts w:ascii="Times New Roman" w:eastAsia="Times New Roman" w:hAnsi="Times New Roman" w:cs="Times New Roman"/>
          <w:sz w:val="24"/>
          <w:szCs w:val="24"/>
        </w:rPr>
      </w:pPr>
      <w:r w:rsidRPr="009E5D07">
        <w:rPr>
          <w:rFonts w:ascii="Times New Roman" w:eastAsia="Times New Roman" w:hAnsi="Times New Roman" w:cs="Times New Roman"/>
          <w:sz w:val="24"/>
          <w:szCs w:val="24"/>
        </w:rPr>
        <w:t>Major deviations from approved methods and procedures that may place subjects at risk from the research.</w:t>
      </w:r>
    </w:p>
    <w:p w14:paraId="76DBEA29" w14:textId="59B58781" w:rsidR="4E7F6F1A" w:rsidRPr="009E5D07" w:rsidRDefault="4E7F6F1A" w:rsidP="00522817">
      <w:pPr>
        <w:spacing w:line="240" w:lineRule="auto"/>
        <w:jc w:val="both"/>
        <w:rPr>
          <w:rFonts w:ascii="Times New Roman" w:eastAsia="Times New Roman" w:hAnsi="Times New Roman" w:cs="Times New Roman"/>
          <w:sz w:val="24"/>
          <w:szCs w:val="24"/>
        </w:rPr>
      </w:pPr>
    </w:p>
    <w:p w14:paraId="5BD3AAA4" w14:textId="10916083" w:rsidR="72A1141F" w:rsidRPr="009E5D07" w:rsidRDefault="72A1141F" w:rsidP="00522817">
      <w:pPr>
        <w:spacing w:line="240" w:lineRule="auto"/>
        <w:jc w:val="both"/>
        <w:rPr>
          <w:rFonts w:ascii="Times New Roman" w:eastAsia="Times New Roman" w:hAnsi="Times New Roman" w:cs="Times New Roman"/>
          <w:sz w:val="24"/>
          <w:szCs w:val="24"/>
        </w:rPr>
      </w:pPr>
      <w:r w:rsidRPr="009E5D07">
        <w:rPr>
          <w:rFonts w:ascii="Times New Roman" w:eastAsia="Times New Roman" w:hAnsi="Times New Roman" w:cs="Times New Roman"/>
          <w:b/>
          <w:bCs/>
          <w:sz w:val="24"/>
          <w:szCs w:val="24"/>
        </w:rPr>
        <w:t>IV.</w:t>
      </w:r>
      <w:r w:rsidRPr="009E5D07">
        <w:rPr>
          <w:rFonts w:ascii="Times New Roman" w:eastAsia="Times New Roman" w:hAnsi="Times New Roman" w:cs="Times New Roman"/>
          <w:sz w:val="24"/>
          <w:szCs w:val="24"/>
        </w:rPr>
        <w:t xml:space="preserve">          </w:t>
      </w:r>
      <w:r w:rsidRPr="009E5D07">
        <w:rPr>
          <w:rFonts w:ascii="Times New Roman" w:eastAsia="Times New Roman" w:hAnsi="Times New Roman" w:cs="Times New Roman"/>
          <w:b/>
          <w:bCs/>
          <w:sz w:val="24"/>
          <w:szCs w:val="24"/>
        </w:rPr>
        <w:t>Procedures</w:t>
      </w:r>
    </w:p>
    <w:p w14:paraId="4E11AA29" w14:textId="39F66226" w:rsidR="72A1141F" w:rsidRPr="009E5D07" w:rsidRDefault="144C6054" w:rsidP="00522817">
      <w:pPr>
        <w:spacing w:line="240" w:lineRule="auto"/>
        <w:jc w:val="both"/>
        <w:rPr>
          <w:rFonts w:ascii="Times New Roman" w:eastAsia="Times New Roman" w:hAnsi="Times New Roman" w:cs="Times New Roman"/>
          <w:sz w:val="24"/>
          <w:szCs w:val="24"/>
        </w:rPr>
      </w:pPr>
      <w:r w:rsidRPr="009E5D07">
        <w:rPr>
          <w:rFonts w:ascii="Times New Roman" w:eastAsia="Times New Roman" w:hAnsi="Times New Roman" w:cs="Times New Roman"/>
          <w:b/>
          <w:bCs/>
          <w:sz w:val="24"/>
          <w:szCs w:val="24"/>
        </w:rPr>
        <w:t xml:space="preserve">A.  </w:t>
      </w:r>
      <w:r w:rsidRPr="009E5D07">
        <w:rPr>
          <w:rFonts w:ascii="Times New Roman" w:eastAsia="Times New Roman" w:hAnsi="Times New Roman" w:cs="Times New Roman"/>
          <w:sz w:val="24"/>
          <w:szCs w:val="24"/>
        </w:rPr>
        <w:t xml:space="preserve">Upon finding that a </w:t>
      </w:r>
      <w:r w:rsidR="00474FA1" w:rsidRPr="009E5D07">
        <w:rPr>
          <w:rFonts w:ascii="Times New Roman" w:eastAsia="Times New Roman" w:hAnsi="Times New Roman" w:cs="Times New Roman"/>
          <w:sz w:val="24"/>
          <w:szCs w:val="24"/>
        </w:rPr>
        <w:t>Principal Investigator (</w:t>
      </w:r>
      <w:r w:rsidRPr="009E5D07">
        <w:rPr>
          <w:rFonts w:ascii="Times New Roman" w:eastAsia="Times New Roman" w:hAnsi="Times New Roman" w:cs="Times New Roman"/>
          <w:sz w:val="24"/>
          <w:szCs w:val="24"/>
        </w:rPr>
        <w:t>PI</w:t>
      </w:r>
      <w:r w:rsidR="00474FA1" w:rsidRPr="009E5D07">
        <w:rPr>
          <w:rFonts w:ascii="Times New Roman" w:eastAsia="Times New Roman" w:hAnsi="Times New Roman" w:cs="Times New Roman"/>
          <w:sz w:val="24"/>
          <w:szCs w:val="24"/>
        </w:rPr>
        <w:t>)</w:t>
      </w:r>
      <w:r w:rsidRPr="009E5D07">
        <w:rPr>
          <w:rFonts w:ascii="Times New Roman" w:eastAsia="Times New Roman" w:hAnsi="Times New Roman" w:cs="Times New Roman"/>
          <w:sz w:val="24"/>
          <w:szCs w:val="24"/>
        </w:rPr>
        <w:t xml:space="preserve">, or any member of the research team, has not complied with federal regulations, state laws, or institutional policies and/or SOPs regarding the </w:t>
      </w:r>
      <w:r w:rsidRPr="009E5D07">
        <w:rPr>
          <w:rFonts w:ascii="Times New Roman" w:eastAsia="Times New Roman" w:hAnsi="Times New Roman" w:cs="Times New Roman"/>
          <w:sz w:val="24"/>
          <w:szCs w:val="24"/>
        </w:rPr>
        <w:lastRenderedPageBreak/>
        <w:t>protection of human subjects, the IRB Chair and IRB members will determine whether the violation is minor or serious.</w:t>
      </w:r>
    </w:p>
    <w:p w14:paraId="50B901A2" w14:textId="1A0CEEA1" w:rsidR="00522817" w:rsidRPr="009E5D07" w:rsidRDefault="72A1141F" w:rsidP="00522817">
      <w:pPr>
        <w:spacing w:line="240" w:lineRule="auto"/>
        <w:jc w:val="both"/>
        <w:rPr>
          <w:rFonts w:ascii="Times New Roman" w:eastAsia="Times New Roman" w:hAnsi="Times New Roman" w:cs="Times New Roman"/>
          <w:sz w:val="24"/>
          <w:szCs w:val="24"/>
        </w:rPr>
      </w:pPr>
      <w:r w:rsidRPr="009E5D07">
        <w:rPr>
          <w:rFonts w:ascii="Times New Roman" w:eastAsia="Times New Roman" w:hAnsi="Times New Roman" w:cs="Times New Roman"/>
          <w:sz w:val="24"/>
          <w:szCs w:val="24"/>
        </w:rPr>
        <w:t xml:space="preserve"> </w:t>
      </w:r>
    </w:p>
    <w:p w14:paraId="0A3D4589" w14:textId="00DAD4FE" w:rsidR="72A1141F" w:rsidRPr="009E5D07" w:rsidRDefault="72A1141F" w:rsidP="00522817">
      <w:pPr>
        <w:spacing w:line="240" w:lineRule="auto"/>
        <w:jc w:val="both"/>
        <w:rPr>
          <w:rFonts w:ascii="Times New Roman" w:hAnsi="Times New Roman" w:cs="Times New Roman"/>
          <w:sz w:val="24"/>
          <w:szCs w:val="24"/>
        </w:rPr>
      </w:pPr>
      <w:r w:rsidRPr="009E5D07">
        <w:rPr>
          <w:rFonts w:ascii="Times New Roman" w:eastAsia="Times New Roman" w:hAnsi="Times New Roman" w:cs="Times New Roman"/>
          <w:b/>
          <w:bCs/>
          <w:sz w:val="24"/>
          <w:szCs w:val="24"/>
        </w:rPr>
        <w:t>A1.</w:t>
      </w:r>
      <w:r w:rsidRPr="009E5D07">
        <w:rPr>
          <w:rFonts w:ascii="Times New Roman" w:eastAsia="Times New Roman" w:hAnsi="Times New Roman" w:cs="Times New Roman"/>
          <w:sz w:val="24"/>
          <w:szCs w:val="24"/>
        </w:rPr>
        <w:t xml:space="preserve">     </w:t>
      </w:r>
      <w:r w:rsidRPr="009E5D07">
        <w:rPr>
          <w:rFonts w:ascii="Times New Roman" w:eastAsia="Times New Roman" w:hAnsi="Times New Roman" w:cs="Times New Roman"/>
          <w:b/>
          <w:bCs/>
          <w:sz w:val="24"/>
          <w:szCs w:val="24"/>
        </w:rPr>
        <w:t>Minor Noncompliance</w:t>
      </w:r>
    </w:p>
    <w:p w14:paraId="1262A03B" w14:textId="75D7FA5B" w:rsidR="72A1141F" w:rsidRPr="009E5D07" w:rsidRDefault="72A1141F" w:rsidP="00522817">
      <w:pPr>
        <w:spacing w:line="240" w:lineRule="auto"/>
        <w:jc w:val="both"/>
        <w:rPr>
          <w:rFonts w:ascii="Times New Roman" w:hAnsi="Times New Roman" w:cs="Times New Roman"/>
          <w:sz w:val="24"/>
          <w:szCs w:val="24"/>
        </w:rPr>
      </w:pPr>
      <w:r w:rsidRPr="009E5D07">
        <w:rPr>
          <w:rFonts w:ascii="Times New Roman" w:hAnsi="Times New Roman" w:cs="Times New Roman"/>
          <w:sz w:val="24"/>
          <w:szCs w:val="24"/>
        </w:rPr>
        <w:t xml:space="preserve">If the IRB determines that an incident of noncompliance is minor, and it is the first noncompliance by a PI or research team member, the IRB chair will send a notification of the minor noncompliance to the PI and/or researcher (if different from the PI). The IRB chair will retain a copy of the notification in electronic </w:t>
      </w:r>
      <w:r w:rsidR="00457229" w:rsidRPr="009E5D07">
        <w:rPr>
          <w:rFonts w:ascii="Times New Roman" w:hAnsi="Times New Roman" w:cs="Times New Roman"/>
          <w:sz w:val="24"/>
          <w:szCs w:val="24"/>
        </w:rPr>
        <w:t>format</w:t>
      </w:r>
      <w:r w:rsidRPr="009E5D07">
        <w:rPr>
          <w:rFonts w:ascii="Times New Roman" w:hAnsi="Times New Roman" w:cs="Times New Roman"/>
          <w:sz w:val="24"/>
          <w:szCs w:val="24"/>
        </w:rPr>
        <w:t>.</w:t>
      </w:r>
    </w:p>
    <w:p w14:paraId="688A0DD8" w14:textId="1CAE1042" w:rsidR="72A1141F" w:rsidRPr="009E5D07" w:rsidRDefault="72A1141F" w:rsidP="00522817">
      <w:pPr>
        <w:spacing w:line="240" w:lineRule="auto"/>
        <w:ind w:left="720"/>
        <w:jc w:val="both"/>
        <w:rPr>
          <w:rFonts w:ascii="Times New Roman" w:hAnsi="Times New Roman" w:cs="Times New Roman"/>
          <w:sz w:val="24"/>
          <w:szCs w:val="24"/>
        </w:rPr>
      </w:pPr>
      <w:r w:rsidRPr="009E5D07">
        <w:rPr>
          <w:rFonts w:ascii="Times New Roman" w:hAnsi="Times New Roman" w:cs="Times New Roman"/>
          <w:sz w:val="24"/>
          <w:szCs w:val="24"/>
        </w:rPr>
        <w:t xml:space="preserve">A1a. The researcher and/or PI will be asked to respond within a specified </w:t>
      </w:r>
      <w:bookmarkStart w:id="0" w:name="_Int_gJYcvXW2"/>
      <w:r w:rsidRPr="009E5D07">
        <w:rPr>
          <w:rFonts w:ascii="Times New Roman" w:hAnsi="Times New Roman" w:cs="Times New Roman"/>
          <w:sz w:val="24"/>
          <w:szCs w:val="24"/>
        </w:rPr>
        <w:t>time</w:t>
      </w:r>
      <w:r w:rsidR="001F7A89" w:rsidRPr="009E5D07">
        <w:rPr>
          <w:rFonts w:ascii="Times New Roman" w:hAnsi="Times New Roman" w:cs="Times New Roman"/>
          <w:sz w:val="24"/>
          <w:szCs w:val="24"/>
        </w:rPr>
        <w:t xml:space="preserve"> </w:t>
      </w:r>
      <w:r w:rsidRPr="009E5D07">
        <w:rPr>
          <w:rFonts w:ascii="Times New Roman" w:hAnsi="Times New Roman" w:cs="Times New Roman"/>
          <w:sz w:val="24"/>
          <w:szCs w:val="24"/>
        </w:rPr>
        <w:t>period</w:t>
      </w:r>
      <w:bookmarkEnd w:id="0"/>
      <w:r w:rsidRPr="009E5D07">
        <w:rPr>
          <w:rFonts w:ascii="Times New Roman" w:hAnsi="Times New Roman" w:cs="Times New Roman"/>
          <w:sz w:val="24"/>
          <w:szCs w:val="24"/>
        </w:rPr>
        <w:t xml:space="preserve"> and provide the IRB with a plan to correct the noncompliance.</w:t>
      </w:r>
    </w:p>
    <w:p w14:paraId="3C3716E2" w14:textId="48D8FBEF" w:rsidR="72A1141F" w:rsidRPr="009E5D07" w:rsidRDefault="72A1141F" w:rsidP="00522817">
      <w:pPr>
        <w:spacing w:line="240" w:lineRule="auto"/>
        <w:ind w:left="720"/>
        <w:jc w:val="both"/>
        <w:rPr>
          <w:rFonts w:ascii="Times New Roman" w:hAnsi="Times New Roman" w:cs="Times New Roman"/>
          <w:sz w:val="24"/>
          <w:szCs w:val="24"/>
        </w:rPr>
      </w:pPr>
      <w:r w:rsidRPr="009E5D07">
        <w:rPr>
          <w:rFonts w:ascii="Times New Roman" w:hAnsi="Times New Roman" w:cs="Times New Roman"/>
          <w:sz w:val="24"/>
          <w:szCs w:val="24"/>
        </w:rPr>
        <w:t>A1b. The IRB Chair will promptly conduct a review of the researcher’s response</w:t>
      </w:r>
      <w:r w:rsidR="001F7A89" w:rsidRPr="009E5D07">
        <w:rPr>
          <w:rFonts w:ascii="Times New Roman" w:hAnsi="Times New Roman" w:cs="Times New Roman"/>
          <w:sz w:val="24"/>
          <w:szCs w:val="24"/>
        </w:rPr>
        <w:t xml:space="preserve"> </w:t>
      </w:r>
      <w:r w:rsidRPr="009E5D07">
        <w:rPr>
          <w:rFonts w:ascii="Times New Roman" w:hAnsi="Times New Roman" w:cs="Times New Roman"/>
          <w:sz w:val="24"/>
          <w:szCs w:val="24"/>
        </w:rPr>
        <w:t>and of the corrective action taken.</w:t>
      </w:r>
    </w:p>
    <w:p w14:paraId="2E7A15AC" w14:textId="271BACBD" w:rsidR="72A1141F" w:rsidRPr="009E5D07" w:rsidRDefault="72A1141F" w:rsidP="00522817">
      <w:pPr>
        <w:spacing w:line="240" w:lineRule="auto"/>
        <w:ind w:left="720"/>
        <w:jc w:val="both"/>
        <w:rPr>
          <w:rFonts w:ascii="Times New Roman" w:hAnsi="Times New Roman" w:cs="Times New Roman"/>
          <w:sz w:val="24"/>
          <w:szCs w:val="24"/>
        </w:rPr>
      </w:pPr>
      <w:r w:rsidRPr="009E5D07">
        <w:rPr>
          <w:rFonts w:ascii="Times New Roman" w:hAnsi="Times New Roman" w:cs="Times New Roman"/>
          <w:sz w:val="24"/>
          <w:szCs w:val="24"/>
        </w:rPr>
        <w:t>A1c.  If the IRB Chair finds that the researcher’s response is acceptable</w:t>
      </w:r>
      <w:r w:rsidR="00322680" w:rsidRPr="009E5D07">
        <w:rPr>
          <w:rFonts w:ascii="Times New Roman" w:hAnsi="Times New Roman" w:cs="Times New Roman"/>
          <w:sz w:val="24"/>
          <w:szCs w:val="24"/>
        </w:rPr>
        <w:t xml:space="preserve"> and adequately addresses the noncompliance</w:t>
      </w:r>
      <w:r w:rsidRPr="009E5D07">
        <w:rPr>
          <w:rFonts w:ascii="Times New Roman" w:hAnsi="Times New Roman" w:cs="Times New Roman"/>
          <w:sz w:val="24"/>
          <w:szCs w:val="24"/>
        </w:rPr>
        <w:t>, the IRB</w:t>
      </w:r>
      <w:r w:rsidR="001F7A89" w:rsidRPr="009E5D07">
        <w:rPr>
          <w:rFonts w:ascii="Times New Roman" w:hAnsi="Times New Roman" w:cs="Times New Roman"/>
          <w:sz w:val="24"/>
          <w:szCs w:val="24"/>
        </w:rPr>
        <w:t xml:space="preserve"> </w:t>
      </w:r>
      <w:r w:rsidRPr="009E5D07">
        <w:rPr>
          <w:rFonts w:ascii="Times New Roman" w:hAnsi="Times New Roman" w:cs="Times New Roman"/>
          <w:sz w:val="24"/>
          <w:szCs w:val="24"/>
        </w:rPr>
        <w:t>Chair will send the researcher a</w:t>
      </w:r>
      <w:r w:rsidR="00322680" w:rsidRPr="009E5D07">
        <w:rPr>
          <w:rFonts w:ascii="Times New Roman" w:hAnsi="Times New Roman" w:cs="Times New Roman"/>
          <w:sz w:val="24"/>
          <w:szCs w:val="24"/>
        </w:rPr>
        <w:t xml:space="preserve"> written</w:t>
      </w:r>
      <w:r w:rsidRPr="009E5D07">
        <w:rPr>
          <w:rFonts w:ascii="Times New Roman" w:hAnsi="Times New Roman" w:cs="Times New Roman"/>
          <w:sz w:val="24"/>
          <w:szCs w:val="24"/>
        </w:rPr>
        <w:t xml:space="preserve"> acknowledgement. </w:t>
      </w:r>
      <w:r w:rsidR="00322680" w:rsidRPr="009E5D07">
        <w:rPr>
          <w:rFonts w:ascii="Times New Roman" w:hAnsi="Times New Roman" w:cs="Times New Roman"/>
          <w:sz w:val="24"/>
          <w:szCs w:val="24"/>
        </w:rPr>
        <w:t xml:space="preserve">The </w:t>
      </w:r>
      <w:r w:rsidRPr="009E5D07">
        <w:rPr>
          <w:rFonts w:ascii="Times New Roman" w:hAnsi="Times New Roman" w:cs="Times New Roman"/>
          <w:sz w:val="24"/>
          <w:szCs w:val="24"/>
        </w:rPr>
        <w:t xml:space="preserve">IRB </w:t>
      </w:r>
      <w:r w:rsidR="00322680" w:rsidRPr="009E5D07">
        <w:rPr>
          <w:rFonts w:ascii="Times New Roman" w:hAnsi="Times New Roman" w:cs="Times New Roman"/>
          <w:sz w:val="24"/>
          <w:szCs w:val="24"/>
        </w:rPr>
        <w:t>C</w:t>
      </w:r>
      <w:r w:rsidRPr="009E5D07">
        <w:rPr>
          <w:rFonts w:ascii="Times New Roman" w:hAnsi="Times New Roman" w:cs="Times New Roman"/>
          <w:sz w:val="24"/>
          <w:szCs w:val="24"/>
        </w:rPr>
        <w:t>hair will retain the</w:t>
      </w:r>
      <w:r w:rsidR="001F7A89" w:rsidRPr="009E5D07">
        <w:rPr>
          <w:rFonts w:ascii="Times New Roman" w:hAnsi="Times New Roman" w:cs="Times New Roman"/>
          <w:sz w:val="24"/>
          <w:szCs w:val="24"/>
        </w:rPr>
        <w:t xml:space="preserve"> </w:t>
      </w:r>
      <w:r w:rsidRPr="009E5D07">
        <w:rPr>
          <w:rFonts w:ascii="Times New Roman" w:hAnsi="Times New Roman" w:cs="Times New Roman"/>
          <w:sz w:val="24"/>
          <w:szCs w:val="24"/>
        </w:rPr>
        <w:t>researcher’s response and IRB Chair’s acknowledgement in electronic format.</w:t>
      </w:r>
    </w:p>
    <w:p w14:paraId="632EBF52" w14:textId="6EF489D1" w:rsidR="72A1141F" w:rsidRPr="009E5D07" w:rsidRDefault="72A1141F" w:rsidP="00522817">
      <w:pPr>
        <w:spacing w:line="240" w:lineRule="auto"/>
        <w:ind w:left="720"/>
        <w:jc w:val="both"/>
        <w:rPr>
          <w:rFonts w:ascii="Times New Roman" w:hAnsi="Times New Roman" w:cs="Times New Roman"/>
          <w:sz w:val="24"/>
          <w:szCs w:val="24"/>
        </w:rPr>
      </w:pPr>
      <w:r w:rsidRPr="009E5D07">
        <w:rPr>
          <w:rFonts w:ascii="Times New Roman" w:hAnsi="Times New Roman" w:cs="Times New Roman"/>
          <w:sz w:val="24"/>
          <w:szCs w:val="24"/>
        </w:rPr>
        <w:t>A1d. If the IRB Chair finds that the researcher has not adequately addressed the</w:t>
      </w:r>
      <w:r w:rsidRPr="009E5D07">
        <w:rPr>
          <w:rFonts w:ascii="Times New Roman" w:hAnsi="Times New Roman" w:cs="Times New Roman"/>
          <w:sz w:val="24"/>
          <w:szCs w:val="24"/>
        </w:rPr>
        <w:tab/>
        <w:t>noncompliance, or if the researcher fails to respond within the specified time period, the IRB Chair may:</w:t>
      </w:r>
    </w:p>
    <w:p w14:paraId="0DB5BA0A" w14:textId="22015A44" w:rsidR="72A1141F" w:rsidRPr="009E5D07" w:rsidRDefault="72A1141F" w:rsidP="00522817">
      <w:pPr>
        <w:pStyle w:val="ListParagraph"/>
        <w:numPr>
          <w:ilvl w:val="0"/>
          <w:numId w:val="4"/>
        </w:numPr>
        <w:spacing w:line="240" w:lineRule="auto"/>
        <w:jc w:val="both"/>
        <w:rPr>
          <w:rFonts w:ascii="Times New Roman" w:eastAsiaTheme="minorEastAsia" w:hAnsi="Times New Roman" w:cs="Times New Roman"/>
          <w:sz w:val="24"/>
          <w:szCs w:val="24"/>
        </w:rPr>
      </w:pPr>
      <w:r w:rsidRPr="009E5D07">
        <w:rPr>
          <w:rFonts w:ascii="Times New Roman" w:eastAsia="Times New Roman" w:hAnsi="Times New Roman" w:cs="Times New Roman"/>
          <w:sz w:val="24"/>
          <w:szCs w:val="24"/>
        </w:rPr>
        <w:t>Order the researcher to suspend research activities until the IRB finds the researcher’s response acceptable</w:t>
      </w:r>
    </w:p>
    <w:p w14:paraId="5DFF8B4F" w14:textId="6BBE8A3A" w:rsidR="72A1141F" w:rsidRPr="009E5D07" w:rsidRDefault="72A1141F" w:rsidP="00522817">
      <w:pPr>
        <w:pStyle w:val="ListParagraph"/>
        <w:numPr>
          <w:ilvl w:val="0"/>
          <w:numId w:val="4"/>
        </w:numPr>
        <w:spacing w:line="240" w:lineRule="auto"/>
        <w:jc w:val="both"/>
        <w:rPr>
          <w:rFonts w:ascii="Times New Roman" w:eastAsiaTheme="minorEastAsia" w:hAnsi="Times New Roman" w:cs="Times New Roman"/>
          <w:sz w:val="24"/>
          <w:szCs w:val="24"/>
        </w:rPr>
      </w:pPr>
      <w:r w:rsidRPr="009E5D07">
        <w:rPr>
          <w:rFonts w:ascii="Times New Roman" w:eastAsia="Times New Roman" w:hAnsi="Times New Roman" w:cs="Times New Roman"/>
          <w:sz w:val="24"/>
          <w:szCs w:val="24"/>
        </w:rPr>
        <w:t xml:space="preserve">Notify the researcher’s </w:t>
      </w:r>
      <w:r w:rsidR="00322680" w:rsidRPr="009E5D07">
        <w:rPr>
          <w:rFonts w:ascii="Times New Roman" w:eastAsia="Times New Roman" w:hAnsi="Times New Roman" w:cs="Times New Roman"/>
          <w:sz w:val="24"/>
          <w:szCs w:val="24"/>
        </w:rPr>
        <w:t>D</w:t>
      </w:r>
      <w:r w:rsidRPr="009E5D07">
        <w:rPr>
          <w:rFonts w:ascii="Times New Roman" w:eastAsia="Times New Roman" w:hAnsi="Times New Roman" w:cs="Times New Roman"/>
          <w:sz w:val="24"/>
          <w:szCs w:val="24"/>
        </w:rPr>
        <w:t xml:space="preserve">epartmental </w:t>
      </w:r>
      <w:r w:rsidR="00322680" w:rsidRPr="009E5D07">
        <w:rPr>
          <w:rFonts w:ascii="Times New Roman" w:eastAsia="Times New Roman" w:hAnsi="Times New Roman" w:cs="Times New Roman"/>
          <w:sz w:val="24"/>
          <w:szCs w:val="24"/>
        </w:rPr>
        <w:t>C</w:t>
      </w:r>
      <w:r w:rsidRPr="009E5D07">
        <w:rPr>
          <w:rFonts w:ascii="Times New Roman" w:eastAsia="Times New Roman" w:hAnsi="Times New Roman" w:cs="Times New Roman"/>
          <w:sz w:val="24"/>
          <w:szCs w:val="24"/>
        </w:rPr>
        <w:t xml:space="preserve">hair, or other immediate supervisor </w:t>
      </w:r>
    </w:p>
    <w:p w14:paraId="07C9BC6C" w14:textId="7B00C1EC" w:rsidR="00606FB6" w:rsidRPr="009E5D07" w:rsidRDefault="00606FB6" w:rsidP="00522817">
      <w:pPr>
        <w:pStyle w:val="ListParagraph"/>
        <w:numPr>
          <w:ilvl w:val="0"/>
          <w:numId w:val="4"/>
        </w:numPr>
        <w:spacing w:line="240" w:lineRule="auto"/>
        <w:jc w:val="both"/>
        <w:rPr>
          <w:rFonts w:ascii="Times New Roman" w:eastAsiaTheme="minorEastAsia" w:hAnsi="Times New Roman" w:cs="Times New Roman"/>
          <w:sz w:val="24"/>
          <w:szCs w:val="24"/>
        </w:rPr>
      </w:pPr>
      <w:r w:rsidRPr="009E5D07">
        <w:rPr>
          <w:rFonts w:ascii="Times New Roman" w:eastAsiaTheme="minorEastAsia" w:hAnsi="Times New Roman" w:cs="Times New Roman"/>
          <w:sz w:val="24"/>
          <w:szCs w:val="24"/>
        </w:rPr>
        <w:t>Notify the Office of Research and Sponsored Programs, as needed</w:t>
      </w:r>
    </w:p>
    <w:p w14:paraId="04EC0E36" w14:textId="0AAC5932" w:rsidR="02F8325A" w:rsidRPr="009E5D07" w:rsidRDefault="72A1141F" w:rsidP="00522817">
      <w:pPr>
        <w:pStyle w:val="ListParagraph"/>
        <w:numPr>
          <w:ilvl w:val="0"/>
          <w:numId w:val="4"/>
        </w:numPr>
        <w:spacing w:line="240" w:lineRule="auto"/>
        <w:jc w:val="both"/>
        <w:rPr>
          <w:rFonts w:ascii="Times New Roman" w:eastAsiaTheme="minorEastAsia" w:hAnsi="Times New Roman" w:cs="Times New Roman"/>
          <w:sz w:val="24"/>
          <w:szCs w:val="24"/>
        </w:rPr>
      </w:pPr>
      <w:r w:rsidRPr="009E5D07">
        <w:rPr>
          <w:rFonts w:ascii="Times New Roman" w:eastAsia="Times New Roman" w:hAnsi="Times New Roman" w:cs="Times New Roman"/>
          <w:sz w:val="24"/>
          <w:szCs w:val="24"/>
        </w:rPr>
        <w:t xml:space="preserve">Instruct the researcher to submit a plan to correct the noncompliance within a specified </w:t>
      </w:r>
      <w:bookmarkStart w:id="1" w:name="_Int_MIQ8mzn3"/>
      <w:r w:rsidRPr="009E5D07">
        <w:rPr>
          <w:rFonts w:ascii="Times New Roman" w:eastAsia="Times New Roman" w:hAnsi="Times New Roman" w:cs="Times New Roman"/>
          <w:sz w:val="24"/>
          <w:szCs w:val="24"/>
        </w:rPr>
        <w:t>time period</w:t>
      </w:r>
      <w:bookmarkEnd w:id="1"/>
      <w:r w:rsidRPr="009E5D07">
        <w:rPr>
          <w:rFonts w:ascii="Times New Roman" w:eastAsia="Times New Roman" w:hAnsi="Times New Roman" w:cs="Times New Roman"/>
          <w:sz w:val="24"/>
          <w:szCs w:val="24"/>
        </w:rPr>
        <w:t>.</w:t>
      </w:r>
      <w:r w:rsidR="00322680" w:rsidRPr="009E5D07">
        <w:rPr>
          <w:rFonts w:ascii="Times New Roman" w:eastAsia="Times New Roman" w:hAnsi="Times New Roman" w:cs="Times New Roman"/>
          <w:sz w:val="24"/>
          <w:szCs w:val="24"/>
        </w:rPr>
        <w:tab/>
      </w:r>
    </w:p>
    <w:p w14:paraId="65AC870F" w14:textId="390D362B" w:rsidR="00322680" w:rsidRPr="009E5D07" w:rsidRDefault="00F12F77" w:rsidP="00F12F77">
      <w:pPr>
        <w:spacing w:line="240" w:lineRule="auto"/>
        <w:ind w:left="720"/>
        <w:jc w:val="both"/>
        <w:rPr>
          <w:rFonts w:ascii="Times New Roman" w:eastAsiaTheme="minorEastAsia" w:hAnsi="Times New Roman" w:cs="Times New Roman"/>
          <w:sz w:val="24"/>
          <w:szCs w:val="24"/>
        </w:rPr>
      </w:pPr>
      <w:r w:rsidRPr="009E5D07">
        <w:rPr>
          <w:rFonts w:ascii="Times New Roman" w:eastAsia="Times New Roman" w:hAnsi="Times New Roman" w:cs="Times New Roman"/>
          <w:sz w:val="24"/>
          <w:szCs w:val="24"/>
        </w:rPr>
        <w:t xml:space="preserve">A1e. </w:t>
      </w:r>
      <w:r w:rsidRPr="009E5D07">
        <w:rPr>
          <w:rFonts w:ascii="Times New Roman" w:eastAsia="Times New Roman" w:hAnsi="Times New Roman" w:cs="Times New Roman"/>
          <w:sz w:val="24"/>
          <w:szCs w:val="24"/>
        </w:rPr>
        <w:tab/>
      </w:r>
      <w:r w:rsidR="72A1141F" w:rsidRPr="009E5D07">
        <w:rPr>
          <w:rFonts w:ascii="Times New Roman" w:eastAsia="Times New Roman" w:hAnsi="Times New Roman" w:cs="Times New Roman"/>
          <w:sz w:val="24"/>
          <w:szCs w:val="24"/>
        </w:rPr>
        <w:t xml:space="preserve">The IRB </w:t>
      </w:r>
      <w:r w:rsidR="00322680" w:rsidRPr="009E5D07">
        <w:rPr>
          <w:rFonts w:ascii="Times New Roman" w:eastAsia="Times New Roman" w:hAnsi="Times New Roman" w:cs="Times New Roman"/>
          <w:sz w:val="24"/>
          <w:szCs w:val="24"/>
        </w:rPr>
        <w:t>C</w:t>
      </w:r>
      <w:r w:rsidR="72A1141F" w:rsidRPr="009E5D07">
        <w:rPr>
          <w:rFonts w:ascii="Times New Roman" w:eastAsia="Times New Roman" w:hAnsi="Times New Roman" w:cs="Times New Roman"/>
          <w:sz w:val="24"/>
          <w:szCs w:val="24"/>
        </w:rPr>
        <w:t>hair will acknowledge the researcher’s corrective action plan when found to be acceptable.</w:t>
      </w:r>
      <w:r w:rsidR="00322680" w:rsidRPr="009E5D07">
        <w:rPr>
          <w:rFonts w:ascii="Times New Roman" w:eastAsiaTheme="minorEastAsia" w:hAnsi="Times New Roman" w:cs="Times New Roman"/>
          <w:sz w:val="24"/>
          <w:szCs w:val="24"/>
        </w:rPr>
        <w:t xml:space="preserve"> </w:t>
      </w:r>
    </w:p>
    <w:p w14:paraId="345D0A54" w14:textId="0FA96AC3" w:rsidR="72A1141F" w:rsidRPr="009E5D07" w:rsidRDefault="72A1141F" w:rsidP="00522817">
      <w:pPr>
        <w:pStyle w:val="ListParagraph"/>
        <w:numPr>
          <w:ilvl w:val="0"/>
          <w:numId w:val="12"/>
        </w:numPr>
        <w:spacing w:line="240" w:lineRule="auto"/>
        <w:jc w:val="both"/>
        <w:rPr>
          <w:rFonts w:ascii="Times New Roman" w:eastAsiaTheme="minorEastAsia" w:hAnsi="Times New Roman" w:cs="Times New Roman"/>
          <w:sz w:val="24"/>
          <w:szCs w:val="24"/>
        </w:rPr>
      </w:pPr>
      <w:r w:rsidRPr="009E5D07">
        <w:rPr>
          <w:rFonts w:ascii="Times New Roman" w:eastAsia="Times New Roman" w:hAnsi="Times New Roman" w:cs="Times New Roman"/>
          <w:sz w:val="24"/>
          <w:szCs w:val="24"/>
        </w:rPr>
        <w:t xml:space="preserve">If the researcher fails to respond, or submits an inadequate response, the IRB </w:t>
      </w:r>
      <w:r w:rsidR="00322680" w:rsidRPr="009E5D07">
        <w:rPr>
          <w:rFonts w:ascii="Times New Roman" w:eastAsia="Times New Roman" w:hAnsi="Times New Roman" w:cs="Times New Roman"/>
          <w:sz w:val="24"/>
          <w:szCs w:val="24"/>
        </w:rPr>
        <w:t>C</w:t>
      </w:r>
      <w:r w:rsidRPr="009E5D07">
        <w:rPr>
          <w:rFonts w:ascii="Times New Roman" w:eastAsia="Times New Roman" w:hAnsi="Times New Roman" w:cs="Times New Roman"/>
          <w:sz w:val="24"/>
          <w:szCs w:val="24"/>
        </w:rPr>
        <w:t>hair may treat the incident as serious noncompliance as outlined below.</w:t>
      </w:r>
    </w:p>
    <w:p w14:paraId="568A40E2" w14:textId="442E9B23" w:rsidR="72A1141F" w:rsidRPr="009E5D07" w:rsidRDefault="72A1141F" w:rsidP="00522817">
      <w:pPr>
        <w:spacing w:line="240" w:lineRule="auto"/>
        <w:jc w:val="both"/>
        <w:rPr>
          <w:rFonts w:ascii="Times New Roman" w:hAnsi="Times New Roman" w:cs="Times New Roman"/>
          <w:sz w:val="24"/>
          <w:szCs w:val="24"/>
        </w:rPr>
      </w:pPr>
      <w:r w:rsidRPr="009E5D07">
        <w:rPr>
          <w:rFonts w:ascii="Times New Roman" w:eastAsia="Times New Roman" w:hAnsi="Times New Roman" w:cs="Times New Roman"/>
          <w:sz w:val="24"/>
          <w:szCs w:val="24"/>
        </w:rPr>
        <w:t xml:space="preserve"> </w:t>
      </w:r>
    </w:p>
    <w:p w14:paraId="6816E553" w14:textId="3C3A8AFB" w:rsidR="72A1141F" w:rsidRPr="009E5D07" w:rsidRDefault="72A1141F" w:rsidP="00522817">
      <w:pPr>
        <w:spacing w:line="240" w:lineRule="auto"/>
        <w:jc w:val="both"/>
        <w:rPr>
          <w:rFonts w:ascii="Times New Roman" w:hAnsi="Times New Roman" w:cs="Times New Roman"/>
          <w:sz w:val="24"/>
          <w:szCs w:val="24"/>
        </w:rPr>
      </w:pPr>
      <w:r w:rsidRPr="009E5D07">
        <w:rPr>
          <w:rFonts w:ascii="Times New Roman" w:eastAsia="Times New Roman" w:hAnsi="Times New Roman" w:cs="Times New Roman"/>
          <w:b/>
          <w:bCs/>
          <w:sz w:val="24"/>
          <w:szCs w:val="24"/>
        </w:rPr>
        <w:t>A2</w:t>
      </w:r>
      <w:r w:rsidRPr="009E5D07">
        <w:rPr>
          <w:rFonts w:ascii="Times New Roman" w:eastAsia="Calibri" w:hAnsi="Times New Roman" w:cs="Times New Roman"/>
          <w:sz w:val="24"/>
          <w:szCs w:val="24"/>
        </w:rPr>
        <w:t>.</w:t>
      </w:r>
      <w:r w:rsidRPr="009E5D07">
        <w:rPr>
          <w:rFonts w:ascii="Times New Roman" w:eastAsia="Times New Roman" w:hAnsi="Times New Roman" w:cs="Times New Roman"/>
          <w:sz w:val="24"/>
          <w:szCs w:val="24"/>
        </w:rPr>
        <w:t xml:space="preserve">     </w:t>
      </w:r>
      <w:r w:rsidRPr="009E5D07">
        <w:rPr>
          <w:rFonts w:ascii="Times New Roman" w:eastAsia="Times New Roman" w:hAnsi="Times New Roman" w:cs="Times New Roman"/>
          <w:b/>
          <w:bCs/>
          <w:sz w:val="24"/>
          <w:szCs w:val="24"/>
        </w:rPr>
        <w:t>Serious Noncompliance</w:t>
      </w:r>
    </w:p>
    <w:p w14:paraId="6968E4B4" w14:textId="56A21031" w:rsidR="72A1141F" w:rsidRPr="009E5D07" w:rsidRDefault="72A1141F" w:rsidP="00522817">
      <w:pPr>
        <w:spacing w:line="240" w:lineRule="auto"/>
        <w:jc w:val="both"/>
        <w:rPr>
          <w:rFonts w:ascii="Times New Roman" w:hAnsi="Times New Roman" w:cs="Times New Roman"/>
          <w:sz w:val="24"/>
          <w:szCs w:val="24"/>
        </w:rPr>
      </w:pPr>
      <w:r w:rsidRPr="009E5D07">
        <w:rPr>
          <w:rFonts w:ascii="Times New Roman" w:hAnsi="Times New Roman" w:cs="Times New Roman"/>
          <w:sz w:val="24"/>
          <w:szCs w:val="24"/>
        </w:rPr>
        <w:t>If the IRB Chair determines that an incident of noncompliance is serious, or if the IRB finds a significant number or repeated minor infractions, such activities will be reported promptly to the Office of</w:t>
      </w:r>
      <w:r w:rsidR="00C00A0E" w:rsidRPr="009E5D07">
        <w:rPr>
          <w:rFonts w:ascii="Times New Roman" w:hAnsi="Times New Roman" w:cs="Times New Roman"/>
          <w:sz w:val="24"/>
          <w:szCs w:val="24"/>
        </w:rPr>
        <w:t xml:space="preserve"> </w:t>
      </w:r>
      <w:r w:rsidRPr="009E5D07">
        <w:rPr>
          <w:rFonts w:ascii="Times New Roman" w:hAnsi="Times New Roman" w:cs="Times New Roman"/>
          <w:sz w:val="24"/>
          <w:szCs w:val="24"/>
        </w:rPr>
        <w:t>Research and Sponsored Programs</w:t>
      </w:r>
      <w:r w:rsidR="00F50A56" w:rsidRPr="009E5D07">
        <w:rPr>
          <w:rFonts w:ascii="Times New Roman" w:hAnsi="Times New Roman" w:cs="Times New Roman"/>
          <w:sz w:val="24"/>
          <w:szCs w:val="24"/>
        </w:rPr>
        <w:t xml:space="preserve"> </w:t>
      </w:r>
      <w:r w:rsidRPr="009E5D07">
        <w:rPr>
          <w:rFonts w:ascii="Times New Roman" w:hAnsi="Times New Roman" w:cs="Times New Roman"/>
          <w:sz w:val="24"/>
          <w:szCs w:val="24"/>
        </w:rPr>
        <w:t>and forwarded to the full IRB for action.  During the live IRB meeting, the IRB will review the research protocol, discuss appropriate actions to take, and vote on a plan of action. The appropriate actions and/or vote may include, but is not limited to:</w:t>
      </w:r>
    </w:p>
    <w:p w14:paraId="6287717D" w14:textId="54D595BD" w:rsidR="72A1141F" w:rsidRPr="009E5D07" w:rsidRDefault="72A1141F" w:rsidP="00522817">
      <w:pPr>
        <w:spacing w:line="240" w:lineRule="auto"/>
        <w:ind w:left="720"/>
        <w:jc w:val="both"/>
        <w:rPr>
          <w:rFonts w:ascii="Times New Roman" w:hAnsi="Times New Roman" w:cs="Times New Roman"/>
          <w:sz w:val="24"/>
          <w:szCs w:val="24"/>
        </w:rPr>
      </w:pPr>
      <w:r w:rsidRPr="009E5D07">
        <w:rPr>
          <w:rFonts w:ascii="Times New Roman" w:eastAsia="Times New Roman" w:hAnsi="Times New Roman" w:cs="Times New Roman"/>
          <w:b/>
          <w:bCs/>
          <w:sz w:val="24"/>
          <w:szCs w:val="24"/>
        </w:rPr>
        <w:t>A2a</w:t>
      </w:r>
      <w:r w:rsidRPr="009E5D07">
        <w:rPr>
          <w:rFonts w:ascii="Times New Roman" w:eastAsia="Calibri" w:hAnsi="Times New Roman" w:cs="Times New Roman"/>
          <w:sz w:val="24"/>
          <w:szCs w:val="24"/>
        </w:rPr>
        <w:t>.</w:t>
      </w:r>
      <w:r w:rsidRPr="009E5D07">
        <w:rPr>
          <w:rFonts w:ascii="Times New Roman" w:eastAsia="Times New Roman" w:hAnsi="Times New Roman" w:cs="Times New Roman"/>
          <w:sz w:val="24"/>
          <w:szCs w:val="24"/>
        </w:rPr>
        <w:t xml:space="preserve">     </w:t>
      </w:r>
      <w:r w:rsidRPr="009E5D07">
        <w:rPr>
          <w:rFonts w:ascii="Times New Roman" w:eastAsia="Times New Roman" w:hAnsi="Times New Roman" w:cs="Times New Roman"/>
          <w:b/>
          <w:bCs/>
          <w:sz w:val="24"/>
          <w:szCs w:val="24"/>
        </w:rPr>
        <w:t>Take No Action</w:t>
      </w:r>
    </w:p>
    <w:p w14:paraId="600C3A66" w14:textId="0050CC35" w:rsidR="72A1141F" w:rsidRPr="009E5D07" w:rsidRDefault="72A1141F" w:rsidP="00522817">
      <w:pPr>
        <w:spacing w:line="240" w:lineRule="auto"/>
        <w:ind w:left="720"/>
        <w:rPr>
          <w:rFonts w:ascii="Times New Roman" w:hAnsi="Times New Roman" w:cs="Times New Roman"/>
          <w:sz w:val="24"/>
          <w:szCs w:val="24"/>
        </w:rPr>
      </w:pPr>
      <w:r w:rsidRPr="009E5D07">
        <w:rPr>
          <w:rFonts w:ascii="Times New Roman" w:hAnsi="Times New Roman" w:cs="Times New Roman"/>
          <w:sz w:val="24"/>
          <w:szCs w:val="24"/>
        </w:rPr>
        <w:lastRenderedPageBreak/>
        <w:t>When the IRB votes to take no action, the PI/researcher, his/her immediate supervisor</w:t>
      </w:r>
      <w:r w:rsidR="00C00A0E" w:rsidRPr="009E5D07">
        <w:rPr>
          <w:rFonts w:ascii="Times New Roman" w:hAnsi="Times New Roman" w:cs="Times New Roman"/>
          <w:sz w:val="24"/>
          <w:szCs w:val="24"/>
        </w:rPr>
        <w:t xml:space="preserve">, </w:t>
      </w:r>
      <w:r w:rsidRPr="009E5D07">
        <w:rPr>
          <w:rFonts w:ascii="Times New Roman" w:hAnsi="Times New Roman" w:cs="Times New Roman"/>
          <w:sz w:val="24"/>
          <w:szCs w:val="24"/>
        </w:rPr>
        <w:t xml:space="preserve">and the </w:t>
      </w:r>
      <w:r w:rsidR="5725D364" w:rsidRPr="009E5D07">
        <w:rPr>
          <w:rFonts w:ascii="Times New Roman" w:hAnsi="Times New Roman" w:cs="Times New Roman"/>
          <w:sz w:val="24"/>
          <w:szCs w:val="24"/>
        </w:rPr>
        <w:t>Office of Research and Sponsored Programs</w:t>
      </w:r>
      <w:r w:rsidRPr="009E5D07">
        <w:rPr>
          <w:rFonts w:ascii="Times New Roman" w:hAnsi="Times New Roman" w:cs="Times New Roman"/>
          <w:sz w:val="24"/>
          <w:szCs w:val="24"/>
        </w:rPr>
        <w:t xml:space="preserve"> will be notified in writing. IRB staff will file a report in electronic format.</w:t>
      </w:r>
    </w:p>
    <w:p w14:paraId="341F0967" w14:textId="3F5507E0" w:rsidR="72A1141F" w:rsidRPr="009E5D07" w:rsidRDefault="72A1141F" w:rsidP="00522817">
      <w:pPr>
        <w:spacing w:line="240" w:lineRule="auto"/>
        <w:ind w:left="720"/>
        <w:jc w:val="both"/>
        <w:rPr>
          <w:rFonts w:ascii="Times New Roman" w:hAnsi="Times New Roman" w:cs="Times New Roman"/>
          <w:sz w:val="24"/>
          <w:szCs w:val="24"/>
        </w:rPr>
      </w:pPr>
      <w:r w:rsidRPr="009E5D07">
        <w:rPr>
          <w:rFonts w:ascii="Times New Roman" w:eastAsia="Times New Roman" w:hAnsi="Times New Roman" w:cs="Times New Roman"/>
          <w:b/>
          <w:bCs/>
          <w:sz w:val="24"/>
          <w:szCs w:val="24"/>
        </w:rPr>
        <w:t>A2b.</w:t>
      </w:r>
      <w:r w:rsidRPr="009E5D07">
        <w:rPr>
          <w:rFonts w:ascii="Times New Roman" w:eastAsia="Times New Roman" w:hAnsi="Times New Roman" w:cs="Times New Roman"/>
          <w:sz w:val="24"/>
          <w:szCs w:val="24"/>
        </w:rPr>
        <w:t xml:space="preserve">     </w:t>
      </w:r>
      <w:r w:rsidRPr="009E5D07">
        <w:rPr>
          <w:rFonts w:ascii="Times New Roman" w:eastAsia="Times New Roman" w:hAnsi="Times New Roman" w:cs="Times New Roman"/>
          <w:b/>
          <w:bCs/>
          <w:sz w:val="24"/>
          <w:szCs w:val="24"/>
        </w:rPr>
        <w:t>Open an In-Depth Investigation</w:t>
      </w:r>
    </w:p>
    <w:p w14:paraId="0B97F5EE" w14:textId="2558513A" w:rsidR="72A1141F" w:rsidRPr="009E5D07" w:rsidRDefault="72A1141F" w:rsidP="00522817">
      <w:pPr>
        <w:spacing w:line="240" w:lineRule="auto"/>
        <w:ind w:left="720"/>
        <w:jc w:val="both"/>
        <w:rPr>
          <w:rFonts w:ascii="Times New Roman" w:hAnsi="Times New Roman" w:cs="Times New Roman"/>
          <w:sz w:val="24"/>
          <w:szCs w:val="24"/>
        </w:rPr>
      </w:pPr>
      <w:r w:rsidRPr="009E5D07">
        <w:rPr>
          <w:rFonts w:ascii="Times New Roman" w:hAnsi="Times New Roman" w:cs="Times New Roman"/>
          <w:sz w:val="24"/>
          <w:szCs w:val="24"/>
        </w:rPr>
        <w:t xml:space="preserve">When the IRB votes to open an in-depth investigation, the IRB will designate two or more members of the committee who do not have conflicting interests in the study, and </w:t>
      </w:r>
      <w:r w:rsidR="001D23EB" w:rsidRPr="009E5D07">
        <w:rPr>
          <w:rFonts w:ascii="Times New Roman" w:hAnsi="Times New Roman" w:cs="Times New Roman"/>
          <w:sz w:val="24"/>
          <w:szCs w:val="24"/>
        </w:rPr>
        <w:t xml:space="preserve">who </w:t>
      </w:r>
      <w:r w:rsidRPr="009E5D07">
        <w:rPr>
          <w:rFonts w:ascii="Times New Roman" w:hAnsi="Times New Roman" w:cs="Times New Roman"/>
          <w:sz w:val="24"/>
          <w:szCs w:val="24"/>
        </w:rPr>
        <w:t>are not in the role of lead chair to conduct the investigation under the coordination of the Office of Research and Sponsored Programs.</w:t>
      </w:r>
    </w:p>
    <w:p w14:paraId="0F92F539" w14:textId="27E002B6" w:rsidR="72A1141F" w:rsidRPr="009E5D07" w:rsidRDefault="72A1141F" w:rsidP="00522817">
      <w:pPr>
        <w:spacing w:line="240" w:lineRule="auto"/>
        <w:jc w:val="both"/>
        <w:rPr>
          <w:rFonts w:ascii="Times New Roman" w:hAnsi="Times New Roman" w:cs="Times New Roman"/>
          <w:sz w:val="24"/>
          <w:szCs w:val="24"/>
        </w:rPr>
      </w:pPr>
      <w:r w:rsidRPr="009E5D07">
        <w:rPr>
          <w:rFonts w:ascii="Times New Roman" w:eastAsia="Times New Roman" w:hAnsi="Times New Roman" w:cs="Times New Roman"/>
          <w:sz w:val="24"/>
          <w:szCs w:val="24"/>
        </w:rPr>
        <w:t xml:space="preserve"> </w:t>
      </w:r>
    </w:p>
    <w:p w14:paraId="4E014F51" w14:textId="2E66422B" w:rsidR="72A1141F" w:rsidRPr="009E5D07" w:rsidRDefault="72A1141F" w:rsidP="00522817">
      <w:pPr>
        <w:spacing w:line="240" w:lineRule="auto"/>
        <w:ind w:left="361" w:firstLine="359"/>
        <w:jc w:val="both"/>
        <w:rPr>
          <w:rFonts w:ascii="Times New Roman" w:hAnsi="Times New Roman" w:cs="Times New Roman"/>
          <w:sz w:val="24"/>
          <w:szCs w:val="24"/>
        </w:rPr>
      </w:pPr>
      <w:r w:rsidRPr="009E5D07">
        <w:rPr>
          <w:rFonts w:ascii="Times New Roman" w:eastAsia="Times New Roman" w:hAnsi="Times New Roman" w:cs="Times New Roman"/>
          <w:b/>
          <w:bCs/>
          <w:sz w:val="24"/>
          <w:szCs w:val="24"/>
        </w:rPr>
        <w:t>A2c.</w:t>
      </w:r>
      <w:r w:rsidRPr="009E5D07">
        <w:rPr>
          <w:rFonts w:ascii="Times New Roman" w:eastAsia="Times New Roman" w:hAnsi="Times New Roman" w:cs="Times New Roman"/>
          <w:sz w:val="24"/>
          <w:szCs w:val="24"/>
        </w:rPr>
        <w:t xml:space="preserve">     </w:t>
      </w:r>
      <w:r w:rsidRPr="009E5D07">
        <w:rPr>
          <w:rFonts w:ascii="Times New Roman" w:eastAsia="Times New Roman" w:hAnsi="Times New Roman" w:cs="Times New Roman"/>
          <w:b/>
          <w:bCs/>
          <w:sz w:val="24"/>
          <w:szCs w:val="24"/>
        </w:rPr>
        <w:t>Suspend the Protocol</w:t>
      </w:r>
    </w:p>
    <w:p w14:paraId="7A7BB3E6" w14:textId="4FCA80E1" w:rsidR="72A1141F" w:rsidRPr="009E5D07" w:rsidRDefault="72A1141F" w:rsidP="00522817">
      <w:pPr>
        <w:spacing w:line="240" w:lineRule="auto"/>
        <w:ind w:left="720"/>
        <w:jc w:val="both"/>
        <w:rPr>
          <w:rFonts w:ascii="Times New Roman" w:hAnsi="Times New Roman" w:cs="Times New Roman"/>
          <w:sz w:val="24"/>
          <w:szCs w:val="24"/>
        </w:rPr>
      </w:pPr>
      <w:r w:rsidRPr="009E5D07">
        <w:rPr>
          <w:rFonts w:ascii="Times New Roman" w:eastAsia="Times New Roman" w:hAnsi="Times New Roman" w:cs="Times New Roman"/>
          <w:sz w:val="24"/>
          <w:szCs w:val="24"/>
        </w:rPr>
        <w:t xml:space="preserve">When the IRB votes to suspend the protocol, the IRB </w:t>
      </w:r>
      <w:r w:rsidR="001D23EB" w:rsidRPr="009E5D07">
        <w:rPr>
          <w:rFonts w:ascii="Times New Roman" w:eastAsia="Times New Roman" w:hAnsi="Times New Roman" w:cs="Times New Roman"/>
          <w:sz w:val="24"/>
          <w:szCs w:val="24"/>
        </w:rPr>
        <w:t>C</w:t>
      </w:r>
      <w:r w:rsidRPr="009E5D07">
        <w:rPr>
          <w:rFonts w:ascii="Times New Roman" w:eastAsia="Times New Roman" w:hAnsi="Times New Roman" w:cs="Times New Roman"/>
          <w:sz w:val="24"/>
          <w:szCs w:val="24"/>
        </w:rPr>
        <w:t xml:space="preserve">hair will notify the PI, his/her immediate supervisor, and the </w:t>
      </w:r>
      <w:r w:rsidR="5725D364" w:rsidRPr="009E5D07">
        <w:rPr>
          <w:rFonts w:ascii="Times New Roman" w:eastAsia="Times New Roman" w:hAnsi="Times New Roman" w:cs="Times New Roman"/>
          <w:sz w:val="24"/>
          <w:szCs w:val="24"/>
        </w:rPr>
        <w:t>Office of Research and Sponsored Programs</w:t>
      </w:r>
      <w:r w:rsidRPr="009E5D07">
        <w:rPr>
          <w:rFonts w:ascii="Times New Roman" w:eastAsia="Times New Roman" w:hAnsi="Times New Roman" w:cs="Times New Roman"/>
          <w:sz w:val="24"/>
          <w:szCs w:val="24"/>
        </w:rPr>
        <w:t xml:space="preserve"> in writing on behalf of the IRB of the date the suspension must commence. When a protocol is suspended, no new subjects can be recruited or enrolled into the study. The researcher may also be required to phase-out existing enrolled subjects. The IRB may instruct the PI to provide the IRB with a plan to phase out subjects, which must be accepted by the IRB, and must contact the IRB when all subjects have been phased out. The study may resume only when the IRB votes to lift the suspension of the protocol. </w:t>
      </w:r>
    </w:p>
    <w:p w14:paraId="361E4590" w14:textId="65020D9B" w:rsidR="4E7F6F1A" w:rsidRPr="009E5D07" w:rsidRDefault="4E7F6F1A" w:rsidP="00522817">
      <w:pPr>
        <w:spacing w:line="240" w:lineRule="auto"/>
        <w:jc w:val="both"/>
        <w:rPr>
          <w:rFonts w:ascii="Times New Roman" w:eastAsia="Times New Roman" w:hAnsi="Times New Roman" w:cs="Times New Roman"/>
          <w:b/>
          <w:bCs/>
          <w:sz w:val="24"/>
          <w:szCs w:val="24"/>
        </w:rPr>
      </w:pPr>
    </w:p>
    <w:p w14:paraId="3E1BF2F3" w14:textId="6B6EF3C7" w:rsidR="72A1141F" w:rsidRPr="009E5D07" w:rsidRDefault="72A1141F" w:rsidP="00522817">
      <w:pPr>
        <w:spacing w:line="240" w:lineRule="auto"/>
        <w:ind w:left="361" w:firstLine="359"/>
        <w:jc w:val="both"/>
        <w:rPr>
          <w:rFonts w:ascii="Times New Roman" w:hAnsi="Times New Roman" w:cs="Times New Roman"/>
          <w:sz w:val="24"/>
          <w:szCs w:val="24"/>
        </w:rPr>
      </w:pPr>
      <w:r w:rsidRPr="009E5D07">
        <w:rPr>
          <w:rFonts w:ascii="Times New Roman" w:eastAsia="Times New Roman" w:hAnsi="Times New Roman" w:cs="Times New Roman"/>
          <w:b/>
          <w:bCs/>
          <w:sz w:val="24"/>
          <w:szCs w:val="24"/>
        </w:rPr>
        <w:t>A2d.</w:t>
      </w:r>
      <w:r w:rsidRPr="009E5D07">
        <w:rPr>
          <w:rFonts w:ascii="Times New Roman" w:eastAsia="Times New Roman" w:hAnsi="Times New Roman" w:cs="Times New Roman"/>
          <w:sz w:val="24"/>
          <w:szCs w:val="24"/>
        </w:rPr>
        <w:t xml:space="preserve">     </w:t>
      </w:r>
      <w:r w:rsidRPr="009E5D07">
        <w:rPr>
          <w:rFonts w:ascii="Times New Roman" w:eastAsia="Times New Roman" w:hAnsi="Times New Roman" w:cs="Times New Roman"/>
          <w:b/>
          <w:bCs/>
          <w:sz w:val="24"/>
          <w:szCs w:val="24"/>
        </w:rPr>
        <w:t>Terminate the Protocol</w:t>
      </w:r>
    </w:p>
    <w:p w14:paraId="1B50FE6D" w14:textId="17C1EFF0" w:rsidR="72A1141F" w:rsidRPr="009E5D07" w:rsidRDefault="72A1141F" w:rsidP="00522817">
      <w:pPr>
        <w:spacing w:line="240" w:lineRule="auto"/>
        <w:ind w:left="720"/>
        <w:jc w:val="both"/>
        <w:rPr>
          <w:rFonts w:ascii="Times New Roman" w:hAnsi="Times New Roman" w:cs="Times New Roman"/>
          <w:sz w:val="24"/>
          <w:szCs w:val="24"/>
        </w:rPr>
      </w:pPr>
      <w:r w:rsidRPr="009E5D07">
        <w:rPr>
          <w:rFonts w:ascii="Times New Roman" w:hAnsi="Times New Roman" w:cs="Times New Roman"/>
          <w:sz w:val="24"/>
          <w:szCs w:val="24"/>
        </w:rPr>
        <w:t>When the IRB votes to terminate the protocol, the IRB Chair, in coordination with the Office of  Research and Sponsored Programs, will notify the researcher, and the researchers’ supervisors, in writing on behalf of the IRB of the date the termination must commence. When a protocol is terminated, all research activities related to the protocol must cease. The IRB may direct the PI as to how to terminate the protocol.</w:t>
      </w:r>
    </w:p>
    <w:p w14:paraId="3FAF601C" w14:textId="0DA428A4" w:rsidR="72A1141F" w:rsidRPr="009E5D07" w:rsidRDefault="72A1141F" w:rsidP="00522817">
      <w:pPr>
        <w:spacing w:line="240" w:lineRule="auto"/>
        <w:ind w:left="720"/>
        <w:jc w:val="both"/>
        <w:rPr>
          <w:rFonts w:ascii="Times New Roman" w:hAnsi="Times New Roman" w:cs="Times New Roman"/>
          <w:sz w:val="24"/>
          <w:szCs w:val="24"/>
        </w:rPr>
      </w:pPr>
      <w:r w:rsidRPr="009E5D07">
        <w:rPr>
          <w:rFonts w:ascii="Times New Roman" w:hAnsi="Times New Roman" w:cs="Times New Roman"/>
          <w:sz w:val="24"/>
          <w:szCs w:val="24"/>
        </w:rPr>
        <w:t>Typically, the PI may not recruit or enroll new subjects into the study, must notify all enrolled subjects of the termination of the project, and must cease all data collection, data analysis</w:t>
      </w:r>
      <w:r w:rsidR="001D23EB" w:rsidRPr="009E5D07">
        <w:rPr>
          <w:rFonts w:ascii="Times New Roman" w:hAnsi="Times New Roman" w:cs="Times New Roman"/>
          <w:sz w:val="24"/>
          <w:szCs w:val="24"/>
        </w:rPr>
        <w:t>,</w:t>
      </w:r>
      <w:r w:rsidR="001D23EB" w:rsidRPr="009E5D07">
        <w:rPr>
          <w:rFonts w:ascii="Times New Roman" w:hAnsi="Times New Roman" w:cs="Times New Roman"/>
          <w:sz w:val="24"/>
          <w:szCs w:val="24"/>
        </w:rPr>
        <w:tab/>
      </w:r>
      <w:r w:rsidRPr="009E5D07">
        <w:rPr>
          <w:rFonts w:ascii="Times New Roman" w:hAnsi="Times New Roman" w:cs="Times New Roman"/>
          <w:sz w:val="24"/>
          <w:szCs w:val="24"/>
        </w:rPr>
        <w:t xml:space="preserve"> and dissemination of research. The study may not resume until the IRB votes to lift the termination of the protocol or to allow some parts of the study to continue.</w:t>
      </w:r>
    </w:p>
    <w:p w14:paraId="4A6E0045" w14:textId="24660BF7" w:rsidR="72A1141F" w:rsidRPr="009E5D07" w:rsidRDefault="72A1141F" w:rsidP="00522817">
      <w:pPr>
        <w:spacing w:line="240" w:lineRule="auto"/>
        <w:jc w:val="both"/>
        <w:rPr>
          <w:rFonts w:ascii="Times New Roman" w:eastAsia="Times New Roman" w:hAnsi="Times New Roman" w:cs="Times New Roman"/>
          <w:sz w:val="24"/>
          <w:szCs w:val="24"/>
        </w:rPr>
      </w:pPr>
    </w:p>
    <w:p w14:paraId="1AE67309" w14:textId="70BCFCC7" w:rsidR="72A1141F" w:rsidRPr="009E5D07" w:rsidRDefault="72A1141F" w:rsidP="00522817">
      <w:pPr>
        <w:spacing w:line="240" w:lineRule="auto"/>
        <w:ind w:left="361" w:firstLine="359"/>
        <w:jc w:val="both"/>
        <w:rPr>
          <w:rFonts w:ascii="Times New Roman" w:hAnsi="Times New Roman" w:cs="Times New Roman"/>
          <w:sz w:val="24"/>
          <w:szCs w:val="24"/>
        </w:rPr>
      </w:pPr>
      <w:r w:rsidRPr="009E5D07">
        <w:rPr>
          <w:rFonts w:ascii="Times New Roman" w:eastAsia="Times New Roman" w:hAnsi="Times New Roman" w:cs="Times New Roman"/>
          <w:b/>
          <w:bCs/>
          <w:sz w:val="24"/>
          <w:szCs w:val="24"/>
        </w:rPr>
        <w:t>A2e</w:t>
      </w:r>
      <w:r w:rsidRPr="009E5D07">
        <w:rPr>
          <w:rFonts w:ascii="Times New Roman" w:eastAsia="Calibri" w:hAnsi="Times New Roman" w:cs="Times New Roman"/>
          <w:sz w:val="24"/>
          <w:szCs w:val="24"/>
        </w:rPr>
        <w:t>.</w:t>
      </w:r>
      <w:r w:rsidRPr="009E5D07">
        <w:rPr>
          <w:rFonts w:ascii="Times New Roman" w:eastAsia="Times New Roman" w:hAnsi="Times New Roman" w:cs="Times New Roman"/>
          <w:sz w:val="24"/>
          <w:szCs w:val="24"/>
        </w:rPr>
        <w:t xml:space="preserve">     </w:t>
      </w:r>
      <w:r w:rsidRPr="009E5D07">
        <w:rPr>
          <w:rFonts w:ascii="Times New Roman" w:eastAsia="Times New Roman" w:hAnsi="Times New Roman" w:cs="Times New Roman"/>
          <w:b/>
          <w:bCs/>
          <w:sz w:val="24"/>
          <w:szCs w:val="24"/>
        </w:rPr>
        <w:t>Prevent the Researcher from Conducting Research at UNCP</w:t>
      </w:r>
    </w:p>
    <w:p w14:paraId="034F708B" w14:textId="16957E7D" w:rsidR="72A1141F" w:rsidRPr="009E5D07" w:rsidRDefault="72A1141F" w:rsidP="00522817">
      <w:pPr>
        <w:spacing w:line="240" w:lineRule="auto"/>
        <w:ind w:left="720"/>
        <w:jc w:val="both"/>
        <w:rPr>
          <w:rFonts w:ascii="Times New Roman" w:hAnsi="Times New Roman" w:cs="Times New Roman"/>
          <w:sz w:val="24"/>
          <w:szCs w:val="24"/>
        </w:rPr>
      </w:pPr>
      <w:r w:rsidRPr="009E5D07">
        <w:rPr>
          <w:rFonts w:ascii="Times New Roman" w:hAnsi="Times New Roman" w:cs="Times New Roman"/>
          <w:sz w:val="24"/>
          <w:szCs w:val="24"/>
        </w:rPr>
        <w:t xml:space="preserve">In extreme cases, the IRB may decide to no longer permit a researcher to conduct research at UNCP. When the IRB decides to prevent a researcher from conducting research, the IRB will convene a meeting consisting of at least 51% of IRB members, the researcher(s), the </w:t>
      </w:r>
      <w:r w:rsidR="007A54B4" w:rsidRPr="009E5D07">
        <w:rPr>
          <w:rFonts w:ascii="Times New Roman" w:hAnsi="Times New Roman" w:cs="Times New Roman"/>
          <w:sz w:val="24"/>
          <w:szCs w:val="24"/>
        </w:rPr>
        <w:t xml:space="preserve">Director </w:t>
      </w:r>
      <w:r w:rsidRPr="009E5D07">
        <w:rPr>
          <w:rFonts w:ascii="Times New Roman" w:hAnsi="Times New Roman" w:cs="Times New Roman"/>
          <w:sz w:val="24"/>
          <w:szCs w:val="24"/>
        </w:rPr>
        <w:t xml:space="preserve"> of the Office of Research and Sponsored Programs, and the Provost. The serious noncompliance will receive a thorough discussion at the meeting, and then the IRB, </w:t>
      </w:r>
      <w:r w:rsidR="007A54B4" w:rsidRPr="009E5D07">
        <w:rPr>
          <w:rFonts w:ascii="Times New Roman" w:hAnsi="Times New Roman" w:cs="Times New Roman"/>
          <w:sz w:val="24"/>
          <w:szCs w:val="24"/>
        </w:rPr>
        <w:t>Director</w:t>
      </w:r>
      <w:r w:rsidRPr="009E5D07">
        <w:rPr>
          <w:rFonts w:ascii="Times New Roman" w:hAnsi="Times New Roman" w:cs="Times New Roman"/>
          <w:sz w:val="24"/>
          <w:szCs w:val="24"/>
        </w:rPr>
        <w:t xml:space="preserve"> of the Office of Research and Sponsored Programs, and the Provost will meet in private to discuss, and possibly vote, on whether to prevent the research</w:t>
      </w:r>
      <w:r w:rsidR="007A54B4" w:rsidRPr="009E5D07">
        <w:rPr>
          <w:rFonts w:ascii="Times New Roman" w:hAnsi="Times New Roman" w:cs="Times New Roman"/>
          <w:sz w:val="24"/>
          <w:szCs w:val="24"/>
        </w:rPr>
        <w:t>er</w:t>
      </w:r>
      <w:r w:rsidRPr="009E5D07">
        <w:rPr>
          <w:rFonts w:ascii="Times New Roman" w:hAnsi="Times New Roman" w:cs="Times New Roman"/>
          <w:sz w:val="24"/>
          <w:szCs w:val="24"/>
        </w:rPr>
        <w:t xml:space="preserve"> from conducting research at UNCP.  If a decision is made to prevent the researcher from conducting further research, then all relevant research must cease immediately.  </w:t>
      </w:r>
    </w:p>
    <w:p w14:paraId="26AD306E" w14:textId="77777777" w:rsidR="007A54B4" w:rsidRPr="009E5D07" w:rsidRDefault="02F8325A" w:rsidP="00522817">
      <w:pPr>
        <w:spacing w:line="240" w:lineRule="auto"/>
        <w:ind w:firstLine="720"/>
        <w:rPr>
          <w:rFonts w:ascii="Times New Roman" w:hAnsi="Times New Roman" w:cs="Times New Roman"/>
          <w:b/>
          <w:bCs/>
          <w:sz w:val="24"/>
          <w:szCs w:val="24"/>
        </w:rPr>
      </w:pPr>
      <w:r w:rsidRPr="009E5D07">
        <w:rPr>
          <w:rFonts w:ascii="Times New Roman" w:hAnsi="Times New Roman" w:cs="Times New Roman"/>
          <w:b/>
          <w:bCs/>
          <w:sz w:val="24"/>
          <w:szCs w:val="24"/>
        </w:rPr>
        <w:lastRenderedPageBreak/>
        <w:t>A2F. Possible Additional Actions</w:t>
      </w:r>
    </w:p>
    <w:p w14:paraId="6037AD74" w14:textId="5D27B35E" w:rsidR="72A1141F" w:rsidRPr="009E5D07" w:rsidRDefault="72A1141F" w:rsidP="00522817">
      <w:pPr>
        <w:spacing w:line="240" w:lineRule="auto"/>
        <w:ind w:left="720"/>
        <w:jc w:val="both"/>
        <w:rPr>
          <w:rFonts w:ascii="Times New Roman" w:hAnsi="Times New Roman" w:cs="Times New Roman"/>
          <w:sz w:val="24"/>
          <w:szCs w:val="24"/>
        </w:rPr>
      </w:pPr>
      <w:r w:rsidRPr="009E5D07">
        <w:rPr>
          <w:rFonts w:ascii="Times New Roman" w:hAnsi="Times New Roman" w:cs="Times New Roman"/>
          <w:sz w:val="24"/>
          <w:szCs w:val="24"/>
        </w:rPr>
        <w:t>In addition to, or in lieu of the above-mentioned actions, the IRB can vote to require the researcher to complete additional training in the protection of human subjects, require more frequent than annual review of protocols, place a researcher on temporary probation from conducting human subjects research, require the researcher to destroy data already collected, or take any similar disciplinary action appropriate to the magnitude of the noncompliance.</w:t>
      </w:r>
    </w:p>
    <w:p w14:paraId="0BFB6172" w14:textId="49C3C158" w:rsidR="72A1141F" w:rsidRPr="009E5D07" w:rsidRDefault="72A1141F" w:rsidP="00522817">
      <w:pPr>
        <w:spacing w:line="240" w:lineRule="auto"/>
        <w:ind w:left="720"/>
        <w:jc w:val="both"/>
        <w:rPr>
          <w:rFonts w:ascii="Times New Roman" w:hAnsi="Times New Roman" w:cs="Times New Roman"/>
          <w:sz w:val="24"/>
          <w:szCs w:val="24"/>
        </w:rPr>
      </w:pPr>
      <w:r w:rsidRPr="009E5D07">
        <w:rPr>
          <w:rFonts w:ascii="Times New Roman" w:hAnsi="Times New Roman" w:cs="Times New Roman"/>
          <w:sz w:val="24"/>
          <w:szCs w:val="24"/>
        </w:rPr>
        <w:t>The IRB, Office of Sponsored Research Programs</w:t>
      </w:r>
      <w:r w:rsidR="007A54B4" w:rsidRPr="009E5D07">
        <w:rPr>
          <w:rFonts w:ascii="Times New Roman" w:hAnsi="Times New Roman" w:cs="Times New Roman"/>
          <w:sz w:val="24"/>
          <w:szCs w:val="24"/>
        </w:rPr>
        <w:t>,</w:t>
      </w:r>
      <w:r w:rsidRPr="009E5D07">
        <w:rPr>
          <w:rFonts w:ascii="Times New Roman" w:hAnsi="Times New Roman" w:cs="Times New Roman"/>
          <w:sz w:val="24"/>
          <w:szCs w:val="24"/>
        </w:rPr>
        <w:t xml:space="preserve"> or Provost may take any of the above actions when it is determined a research protocol is not being conducted according to federal or local regulations or UNC</w:t>
      </w:r>
      <w:r w:rsidR="007A54B4" w:rsidRPr="009E5D07">
        <w:rPr>
          <w:rFonts w:ascii="Times New Roman" w:hAnsi="Times New Roman" w:cs="Times New Roman"/>
          <w:sz w:val="24"/>
          <w:szCs w:val="24"/>
        </w:rPr>
        <w:t>P</w:t>
      </w:r>
      <w:r w:rsidRPr="009E5D07">
        <w:rPr>
          <w:rFonts w:ascii="Times New Roman" w:hAnsi="Times New Roman" w:cs="Times New Roman"/>
          <w:sz w:val="24"/>
          <w:szCs w:val="24"/>
        </w:rPr>
        <w:t xml:space="preserve"> policies and procedures, has deviated from its approved protocol, or raises concerns about the risks to human subjects.</w:t>
      </w:r>
    </w:p>
    <w:p w14:paraId="209DAFB8" w14:textId="27F35171" w:rsidR="02F8325A" w:rsidRPr="009E5D07" w:rsidRDefault="72A1141F" w:rsidP="00522817">
      <w:pPr>
        <w:spacing w:line="240" w:lineRule="auto"/>
        <w:rPr>
          <w:rFonts w:ascii="Times New Roman" w:hAnsi="Times New Roman" w:cs="Times New Roman"/>
          <w:sz w:val="24"/>
          <w:szCs w:val="24"/>
        </w:rPr>
      </w:pPr>
      <w:r w:rsidRPr="009E5D07">
        <w:rPr>
          <w:rFonts w:ascii="Times New Roman" w:hAnsi="Times New Roman" w:cs="Times New Roman"/>
          <w:sz w:val="24"/>
          <w:szCs w:val="24"/>
        </w:rPr>
        <w:t xml:space="preserve"> </w:t>
      </w:r>
    </w:p>
    <w:p w14:paraId="5DF2BDDF" w14:textId="491A5350" w:rsidR="72A1141F" w:rsidRPr="009E5D07" w:rsidRDefault="72A1141F" w:rsidP="00522817">
      <w:pPr>
        <w:spacing w:line="240" w:lineRule="auto"/>
        <w:ind w:left="721" w:hanging="721"/>
        <w:jc w:val="both"/>
        <w:rPr>
          <w:rFonts w:ascii="Times New Roman" w:hAnsi="Times New Roman" w:cs="Times New Roman"/>
          <w:sz w:val="24"/>
          <w:szCs w:val="24"/>
        </w:rPr>
      </w:pPr>
      <w:r w:rsidRPr="009E5D07">
        <w:rPr>
          <w:rFonts w:ascii="Times New Roman" w:eastAsia="Times New Roman" w:hAnsi="Times New Roman" w:cs="Times New Roman"/>
          <w:b/>
          <w:bCs/>
          <w:sz w:val="24"/>
          <w:szCs w:val="24"/>
        </w:rPr>
        <w:t>B.  Conducting an In-Depth Investigation</w:t>
      </w:r>
    </w:p>
    <w:p w14:paraId="03F59259" w14:textId="335F80F6" w:rsidR="72A1141F" w:rsidRPr="009E5D07" w:rsidRDefault="72A1141F" w:rsidP="00522817">
      <w:pPr>
        <w:spacing w:line="240" w:lineRule="auto"/>
        <w:jc w:val="both"/>
        <w:rPr>
          <w:rFonts w:ascii="Times New Roman" w:hAnsi="Times New Roman" w:cs="Times New Roman"/>
          <w:sz w:val="24"/>
          <w:szCs w:val="24"/>
        </w:rPr>
      </w:pPr>
      <w:r w:rsidRPr="009E5D07">
        <w:rPr>
          <w:rFonts w:ascii="Times New Roman" w:eastAsia="Times New Roman" w:hAnsi="Times New Roman" w:cs="Times New Roman"/>
          <w:sz w:val="24"/>
          <w:szCs w:val="24"/>
        </w:rPr>
        <w:t xml:space="preserve"> </w:t>
      </w:r>
    </w:p>
    <w:p w14:paraId="13C91A2D" w14:textId="3C119708" w:rsidR="72A1141F" w:rsidRPr="009E5D07" w:rsidRDefault="72A1141F" w:rsidP="00522817">
      <w:pPr>
        <w:spacing w:line="240" w:lineRule="auto"/>
        <w:ind w:left="360"/>
        <w:jc w:val="both"/>
        <w:rPr>
          <w:rFonts w:ascii="Times New Roman" w:hAnsi="Times New Roman" w:cs="Times New Roman"/>
          <w:sz w:val="24"/>
          <w:szCs w:val="24"/>
        </w:rPr>
      </w:pPr>
      <w:r w:rsidRPr="009E5D07">
        <w:rPr>
          <w:rFonts w:ascii="Times New Roman" w:eastAsia="Times New Roman" w:hAnsi="Times New Roman" w:cs="Times New Roman"/>
          <w:b/>
          <w:bCs/>
          <w:sz w:val="24"/>
          <w:szCs w:val="24"/>
        </w:rPr>
        <w:t>B1</w:t>
      </w:r>
      <w:r w:rsidRPr="009E5D07">
        <w:rPr>
          <w:rFonts w:ascii="Times New Roman" w:eastAsia="Calibri" w:hAnsi="Times New Roman" w:cs="Times New Roman"/>
          <w:sz w:val="24"/>
          <w:szCs w:val="24"/>
        </w:rPr>
        <w:t>.</w:t>
      </w:r>
      <w:r w:rsidRPr="009E5D07">
        <w:rPr>
          <w:rFonts w:ascii="Times New Roman" w:eastAsia="Times New Roman" w:hAnsi="Times New Roman" w:cs="Times New Roman"/>
          <w:sz w:val="24"/>
          <w:szCs w:val="24"/>
        </w:rPr>
        <w:t xml:space="preserve">     When the IRB determines that an in-depth investigation is required to obtain detailed information regarding the conduct of a human subjects research study, the investigation team may:</w:t>
      </w:r>
    </w:p>
    <w:p w14:paraId="4DE33D37" w14:textId="77777777" w:rsidR="0034621F" w:rsidRPr="009E5D07" w:rsidRDefault="72A1141F" w:rsidP="00522817">
      <w:pPr>
        <w:pStyle w:val="ListParagraph"/>
        <w:numPr>
          <w:ilvl w:val="0"/>
          <w:numId w:val="13"/>
        </w:numPr>
        <w:spacing w:line="240" w:lineRule="auto"/>
        <w:jc w:val="both"/>
        <w:rPr>
          <w:rFonts w:ascii="Times New Roman" w:eastAsia="Times New Roman" w:hAnsi="Times New Roman" w:cs="Times New Roman"/>
          <w:sz w:val="24"/>
          <w:szCs w:val="24"/>
        </w:rPr>
      </w:pPr>
      <w:r w:rsidRPr="009E5D07">
        <w:rPr>
          <w:rFonts w:ascii="Times New Roman" w:eastAsia="Times New Roman" w:hAnsi="Times New Roman" w:cs="Times New Roman"/>
          <w:sz w:val="24"/>
          <w:szCs w:val="24"/>
        </w:rPr>
        <w:t>Conduct interviews of knowledgeable sources, including but not limited to the principal investigator (PI), research team members, and subjects;</w:t>
      </w:r>
    </w:p>
    <w:p w14:paraId="2B5E9E1C" w14:textId="525E708D" w:rsidR="0034621F" w:rsidRPr="009E5D07" w:rsidRDefault="72A1141F" w:rsidP="00522817">
      <w:pPr>
        <w:pStyle w:val="ListParagraph"/>
        <w:numPr>
          <w:ilvl w:val="0"/>
          <w:numId w:val="13"/>
        </w:numPr>
        <w:spacing w:line="240" w:lineRule="auto"/>
        <w:jc w:val="both"/>
        <w:rPr>
          <w:rFonts w:ascii="Times New Roman" w:eastAsia="Times New Roman" w:hAnsi="Times New Roman" w:cs="Times New Roman"/>
          <w:sz w:val="24"/>
          <w:szCs w:val="24"/>
        </w:rPr>
      </w:pPr>
      <w:r w:rsidRPr="009E5D07">
        <w:rPr>
          <w:rFonts w:ascii="Times New Roman" w:eastAsia="Times New Roman" w:hAnsi="Times New Roman" w:cs="Times New Roman"/>
          <w:sz w:val="24"/>
          <w:szCs w:val="24"/>
        </w:rPr>
        <w:t xml:space="preserve"> Request from the PI a written response to questions;</w:t>
      </w:r>
    </w:p>
    <w:p w14:paraId="79AF3A59" w14:textId="77777777" w:rsidR="0034621F" w:rsidRPr="009E5D07" w:rsidRDefault="72A1141F" w:rsidP="00522817">
      <w:pPr>
        <w:pStyle w:val="ListParagraph"/>
        <w:numPr>
          <w:ilvl w:val="0"/>
          <w:numId w:val="13"/>
        </w:numPr>
        <w:spacing w:line="240" w:lineRule="auto"/>
        <w:jc w:val="both"/>
        <w:rPr>
          <w:rFonts w:ascii="Times New Roman" w:eastAsia="Times New Roman" w:hAnsi="Times New Roman" w:cs="Times New Roman"/>
          <w:sz w:val="24"/>
          <w:szCs w:val="24"/>
        </w:rPr>
      </w:pPr>
      <w:r w:rsidRPr="009E5D07">
        <w:rPr>
          <w:rFonts w:ascii="Times New Roman" w:eastAsia="Times New Roman" w:hAnsi="Times New Roman" w:cs="Times New Roman"/>
          <w:sz w:val="24"/>
          <w:szCs w:val="24"/>
        </w:rPr>
        <w:t>Observe the methods and processes used; and</w:t>
      </w:r>
    </w:p>
    <w:p w14:paraId="4E86A73A" w14:textId="77CCC77B" w:rsidR="72A1141F" w:rsidRPr="009E5D07" w:rsidRDefault="72A1141F" w:rsidP="00522817">
      <w:pPr>
        <w:pStyle w:val="ListParagraph"/>
        <w:numPr>
          <w:ilvl w:val="0"/>
          <w:numId w:val="13"/>
        </w:numPr>
        <w:spacing w:line="240" w:lineRule="auto"/>
        <w:jc w:val="both"/>
        <w:rPr>
          <w:rFonts w:ascii="Times New Roman" w:eastAsia="Times New Roman" w:hAnsi="Times New Roman" w:cs="Times New Roman"/>
          <w:sz w:val="24"/>
          <w:szCs w:val="24"/>
        </w:rPr>
      </w:pPr>
      <w:r w:rsidRPr="009E5D07">
        <w:rPr>
          <w:rFonts w:ascii="Times New Roman" w:eastAsia="Times New Roman" w:hAnsi="Times New Roman" w:cs="Times New Roman"/>
          <w:sz w:val="24"/>
          <w:szCs w:val="24"/>
        </w:rPr>
        <w:t>Collect and review any related documentation, including but not limited to correspondence,</w:t>
      </w:r>
      <w:r w:rsidR="0034621F" w:rsidRPr="009E5D07">
        <w:rPr>
          <w:rFonts w:ascii="Times New Roman" w:eastAsia="Times New Roman" w:hAnsi="Times New Roman" w:cs="Times New Roman"/>
          <w:sz w:val="24"/>
          <w:szCs w:val="24"/>
        </w:rPr>
        <w:t xml:space="preserve"> </w:t>
      </w:r>
      <w:r w:rsidRPr="009E5D07">
        <w:rPr>
          <w:rFonts w:ascii="Times New Roman" w:eastAsia="Times New Roman" w:hAnsi="Times New Roman" w:cs="Times New Roman"/>
          <w:sz w:val="24"/>
          <w:szCs w:val="24"/>
        </w:rPr>
        <w:t>consent forms, completed survey instruments, subject identification logs, or other study materials.</w:t>
      </w:r>
    </w:p>
    <w:p w14:paraId="27608266" w14:textId="6459CE8F" w:rsidR="72A1141F" w:rsidRPr="009E5D07" w:rsidRDefault="72A1141F" w:rsidP="00522817">
      <w:pPr>
        <w:spacing w:line="240" w:lineRule="auto"/>
        <w:ind w:left="360"/>
        <w:jc w:val="both"/>
        <w:rPr>
          <w:rFonts w:ascii="Times New Roman" w:eastAsia="Times New Roman" w:hAnsi="Times New Roman" w:cs="Times New Roman"/>
          <w:sz w:val="24"/>
          <w:szCs w:val="24"/>
        </w:rPr>
      </w:pPr>
      <w:r w:rsidRPr="009E5D07">
        <w:rPr>
          <w:rFonts w:ascii="Times New Roman" w:eastAsia="Times New Roman" w:hAnsi="Times New Roman" w:cs="Times New Roman"/>
          <w:b/>
          <w:bCs/>
          <w:sz w:val="24"/>
          <w:szCs w:val="24"/>
        </w:rPr>
        <w:t>B2</w:t>
      </w:r>
      <w:r w:rsidRPr="009E5D07">
        <w:rPr>
          <w:rFonts w:ascii="Times New Roman" w:eastAsia="Times New Roman" w:hAnsi="Times New Roman" w:cs="Times New Roman"/>
          <w:sz w:val="24"/>
          <w:szCs w:val="24"/>
        </w:rPr>
        <w:t xml:space="preserve">.    An investigation team will be appointed by the IRB </w:t>
      </w:r>
      <w:r w:rsidR="0034621F" w:rsidRPr="009E5D07">
        <w:rPr>
          <w:rFonts w:ascii="Times New Roman" w:eastAsia="Times New Roman" w:hAnsi="Times New Roman" w:cs="Times New Roman"/>
          <w:sz w:val="24"/>
          <w:szCs w:val="24"/>
        </w:rPr>
        <w:t>C</w:t>
      </w:r>
      <w:r w:rsidRPr="009E5D07">
        <w:rPr>
          <w:rFonts w:ascii="Times New Roman" w:eastAsia="Times New Roman" w:hAnsi="Times New Roman" w:cs="Times New Roman"/>
          <w:sz w:val="24"/>
          <w:szCs w:val="24"/>
        </w:rPr>
        <w:t xml:space="preserve">hair and will consist </w:t>
      </w:r>
      <w:r w:rsidR="5725D364" w:rsidRPr="009E5D07">
        <w:rPr>
          <w:rFonts w:ascii="Times New Roman" w:eastAsia="Times New Roman" w:hAnsi="Times New Roman" w:cs="Times New Roman"/>
          <w:color w:val="000000" w:themeColor="text1"/>
          <w:sz w:val="24"/>
          <w:szCs w:val="24"/>
        </w:rPr>
        <w:t>of three IRB member</w:t>
      </w:r>
      <w:r w:rsidR="0034621F" w:rsidRPr="009E5D07">
        <w:rPr>
          <w:rFonts w:ascii="Times New Roman" w:eastAsia="Times New Roman" w:hAnsi="Times New Roman" w:cs="Times New Roman"/>
          <w:color w:val="000000" w:themeColor="text1"/>
          <w:sz w:val="24"/>
          <w:szCs w:val="24"/>
        </w:rPr>
        <w:t>s</w:t>
      </w:r>
      <w:r w:rsidR="5725D364" w:rsidRPr="009E5D07">
        <w:rPr>
          <w:rFonts w:ascii="Times New Roman" w:eastAsia="Times New Roman" w:hAnsi="Times New Roman" w:cs="Times New Roman"/>
          <w:color w:val="000000" w:themeColor="text1"/>
          <w:sz w:val="24"/>
          <w:szCs w:val="24"/>
        </w:rPr>
        <w:t xml:space="preserve"> who do not have a conflict of interest with the research in question. </w:t>
      </w:r>
      <w:r w:rsidRPr="009E5D07">
        <w:rPr>
          <w:rFonts w:ascii="Times New Roman" w:eastAsia="Times New Roman" w:hAnsi="Times New Roman" w:cs="Times New Roman"/>
          <w:sz w:val="24"/>
          <w:szCs w:val="24"/>
        </w:rPr>
        <w:t>The investigation team shall ensure that the investigation is conducted in a timely manner, is thorough, and the procedures used are limited to those that are deemed reasonable and necessary in order to produce relevant, reliable</w:t>
      </w:r>
      <w:r w:rsidR="0034621F" w:rsidRPr="009E5D07">
        <w:rPr>
          <w:rFonts w:ascii="Times New Roman" w:eastAsia="Times New Roman" w:hAnsi="Times New Roman" w:cs="Times New Roman"/>
          <w:sz w:val="24"/>
          <w:szCs w:val="24"/>
        </w:rPr>
        <w:t>,</w:t>
      </w:r>
      <w:r w:rsidRPr="009E5D07">
        <w:rPr>
          <w:rFonts w:ascii="Times New Roman" w:eastAsia="Times New Roman" w:hAnsi="Times New Roman" w:cs="Times New Roman"/>
          <w:sz w:val="24"/>
          <w:szCs w:val="24"/>
        </w:rPr>
        <w:t xml:space="preserve"> and sufficient information that will enable the IRB </w:t>
      </w:r>
      <w:r w:rsidR="0034621F" w:rsidRPr="009E5D07">
        <w:rPr>
          <w:rFonts w:ascii="Times New Roman" w:eastAsia="Times New Roman" w:hAnsi="Times New Roman" w:cs="Times New Roman"/>
          <w:sz w:val="24"/>
          <w:szCs w:val="24"/>
        </w:rPr>
        <w:t>C</w:t>
      </w:r>
      <w:r w:rsidRPr="009E5D07">
        <w:rPr>
          <w:rFonts w:ascii="Times New Roman" w:eastAsia="Times New Roman" w:hAnsi="Times New Roman" w:cs="Times New Roman"/>
          <w:sz w:val="24"/>
          <w:szCs w:val="24"/>
        </w:rPr>
        <w:t>hair, or the full board, to determine further actions needed. The</w:t>
      </w:r>
      <w:r w:rsidR="0034621F" w:rsidRPr="009E5D07">
        <w:rPr>
          <w:rFonts w:ascii="Times New Roman" w:eastAsia="Times New Roman" w:hAnsi="Times New Roman" w:cs="Times New Roman"/>
          <w:sz w:val="24"/>
          <w:szCs w:val="24"/>
        </w:rPr>
        <w:t xml:space="preserve"> investigation team</w:t>
      </w:r>
      <w:r w:rsidRPr="009E5D07">
        <w:rPr>
          <w:rFonts w:ascii="Times New Roman" w:eastAsia="Times New Roman" w:hAnsi="Times New Roman" w:cs="Times New Roman"/>
          <w:sz w:val="24"/>
          <w:szCs w:val="24"/>
        </w:rPr>
        <w:t xml:space="preserve"> </w:t>
      </w:r>
      <w:r w:rsidR="0034621F" w:rsidRPr="009E5D07">
        <w:rPr>
          <w:rFonts w:ascii="Times New Roman" w:eastAsia="Times New Roman" w:hAnsi="Times New Roman" w:cs="Times New Roman"/>
          <w:sz w:val="24"/>
          <w:szCs w:val="24"/>
        </w:rPr>
        <w:t>will</w:t>
      </w:r>
      <w:r w:rsidRPr="009E5D07">
        <w:rPr>
          <w:rFonts w:ascii="Times New Roman" w:eastAsia="Times New Roman" w:hAnsi="Times New Roman" w:cs="Times New Roman"/>
          <w:sz w:val="24"/>
          <w:szCs w:val="24"/>
        </w:rPr>
        <w:t xml:space="preserve"> establish and communicate deadlines for interviews, responses, and document collection, and make available extensions for good cause.</w:t>
      </w:r>
    </w:p>
    <w:p w14:paraId="17551ED5" w14:textId="688631CD" w:rsidR="72A1141F" w:rsidRPr="009E5D07" w:rsidRDefault="72A1141F" w:rsidP="00522817">
      <w:pPr>
        <w:spacing w:line="240" w:lineRule="auto"/>
        <w:ind w:left="360"/>
        <w:jc w:val="both"/>
        <w:rPr>
          <w:rFonts w:ascii="Times New Roman" w:hAnsi="Times New Roman" w:cs="Times New Roman"/>
          <w:sz w:val="24"/>
          <w:szCs w:val="24"/>
        </w:rPr>
      </w:pPr>
      <w:r w:rsidRPr="009E5D07">
        <w:rPr>
          <w:rFonts w:ascii="Times New Roman" w:eastAsia="Times New Roman" w:hAnsi="Times New Roman" w:cs="Times New Roman"/>
          <w:b/>
          <w:bCs/>
          <w:sz w:val="24"/>
          <w:szCs w:val="24"/>
        </w:rPr>
        <w:t>B3</w:t>
      </w:r>
      <w:r w:rsidRPr="009E5D07">
        <w:rPr>
          <w:rFonts w:ascii="Times New Roman" w:eastAsia="Calibri" w:hAnsi="Times New Roman" w:cs="Times New Roman"/>
          <w:sz w:val="24"/>
          <w:szCs w:val="24"/>
        </w:rPr>
        <w:t>.</w:t>
      </w:r>
      <w:r w:rsidRPr="009E5D07">
        <w:rPr>
          <w:rFonts w:ascii="Times New Roman" w:eastAsia="Times New Roman" w:hAnsi="Times New Roman" w:cs="Times New Roman"/>
          <w:sz w:val="24"/>
          <w:szCs w:val="24"/>
        </w:rPr>
        <w:t xml:space="preserve">     Upon conclusion of the investigation, the investigation team shall prepare a written report to the IRB detailing the investigation process, the investigation findings, and the investigative team’s recommendations for further actions to be taken, which may include, but are not limited to:</w:t>
      </w:r>
    </w:p>
    <w:p w14:paraId="68031465" w14:textId="0069AE86" w:rsidR="72A1141F" w:rsidRPr="009E5D07" w:rsidRDefault="72A1141F" w:rsidP="00522817">
      <w:pPr>
        <w:pStyle w:val="ListParagraph"/>
        <w:numPr>
          <w:ilvl w:val="1"/>
          <w:numId w:val="15"/>
        </w:numPr>
        <w:spacing w:line="240" w:lineRule="auto"/>
        <w:jc w:val="both"/>
        <w:rPr>
          <w:rFonts w:ascii="Times New Roman" w:eastAsiaTheme="minorEastAsia" w:hAnsi="Times New Roman" w:cs="Times New Roman"/>
          <w:sz w:val="24"/>
          <w:szCs w:val="24"/>
        </w:rPr>
      </w:pPr>
      <w:r w:rsidRPr="009E5D07">
        <w:rPr>
          <w:rFonts w:ascii="Times New Roman" w:eastAsia="Times New Roman" w:hAnsi="Times New Roman" w:cs="Times New Roman"/>
          <w:sz w:val="24"/>
          <w:szCs w:val="24"/>
        </w:rPr>
        <w:t>Require no further action</w:t>
      </w:r>
      <w:r w:rsidR="0034621F" w:rsidRPr="009E5D07">
        <w:rPr>
          <w:rFonts w:ascii="Times New Roman" w:eastAsia="Times New Roman" w:hAnsi="Times New Roman" w:cs="Times New Roman"/>
          <w:sz w:val="24"/>
          <w:szCs w:val="24"/>
        </w:rPr>
        <w:t>.</w:t>
      </w:r>
    </w:p>
    <w:p w14:paraId="0374A5A0" w14:textId="7158EF04" w:rsidR="72A1141F" w:rsidRPr="009E5D07" w:rsidRDefault="72A1141F" w:rsidP="00522817">
      <w:pPr>
        <w:pStyle w:val="ListParagraph"/>
        <w:numPr>
          <w:ilvl w:val="1"/>
          <w:numId w:val="15"/>
        </w:numPr>
        <w:spacing w:line="240" w:lineRule="auto"/>
        <w:jc w:val="both"/>
        <w:rPr>
          <w:rFonts w:ascii="Times New Roman" w:eastAsiaTheme="minorEastAsia" w:hAnsi="Times New Roman" w:cs="Times New Roman"/>
          <w:sz w:val="24"/>
          <w:szCs w:val="24"/>
        </w:rPr>
      </w:pPr>
      <w:r w:rsidRPr="009E5D07">
        <w:rPr>
          <w:rFonts w:ascii="Times New Roman" w:eastAsia="Times New Roman" w:hAnsi="Times New Roman" w:cs="Times New Roman"/>
          <w:sz w:val="24"/>
          <w:szCs w:val="24"/>
        </w:rPr>
        <w:t>Accept and approve a proposed corrective action plan provided by the PI or the Institution</w:t>
      </w:r>
      <w:r w:rsidR="0034621F" w:rsidRPr="009E5D07">
        <w:rPr>
          <w:rFonts w:ascii="Times New Roman" w:eastAsia="Times New Roman" w:hAnsi="Times New Roman" w:cs="Times New Roman"/>
          <w:sz w:val="24"/>
          <w:szCs w:val="24"/>
        </w:rPr>
        <w:t>.</w:t>
      </w:r>
    </w:p>
    <w:p w14:paraId="5388FC64" w14:textId="42A0FBE4" w:rsidR="72A1141F" w:rsidRPr="009E5D07" w:rsidRDefault="72A1141F" w:rsidP="00522817">
      <w:pPr>
        <w:pStyle w:val="ListParagraph"/>
        <w:numPr>
          <w:ilvl w:val="1"/>
          <w:numId w:val="15"/>
        </w:numPr>
        <w:spacing w:line="240" w:lineRule="auto"/>
        <w:jc w:val="both"/>
        <w:rPr>
          <w:rFonts w:ascii="Times New Roman" w:eastAsiaTheme="minorEastAsia" w:hAnsi="Times New Roman" w:cs="Times New Roman"/>
          <w:sz w:val="24"/>
          <w:szCs w:val="24"/>
        </w:rPr>
      </w:pPr>
      <w:r w:rsidRPr="009E5D07">
        <w:rPr>
          <w:rFonts w:ascii="Times New Roman" w:eastAsia="Times New Roman" w:hAnsi="Times New Roman" w:cs="Times New Roman"/>
          <w:sz w:val="24"/>
          <w:szCs w:val="24"/>
        </w:rPr>
        <w:t>Require that the PI modify the protocol to minimize risk, such as modifying the recruitment and/or consent procedures or revising the informed consent</w:t>
      </w:r>
      <w:r w:rsidR="00265568" w:rsidRPr="009E5D07">
        <w:rPr>
          <w:rFonts w:ascii="Times New Roman" w:eastAsia="Times New Roman" w:hAnsi="Times New Roman" w:cs="Times New Roman"/>
          <w:sz w:val="24"/>
          <w:szCs w:val="24"/>
        </w:rPr>
        <w:t>.</w:t>
      </w:r>
    </w:p>
    <w:p w14:paraId="4DB9C8D1" w14:textId="34EC41D4" w:rsidR="72A1141F" w:rsidRPr="009E5D07" w:rsidRDefault="72A1141F" w:rsidP="00522817">
      <w:pPr>
        <w:pStyle w:val="ListParagraph"/>
        <w:numPr>
          <w:ilvl w:val="1"/>
          <w:numId w:val="15"/>
        </w:numPr>
        <w:spacing w:line="240" w:lineRule="auto"/>
        <w:jc w:val="both"/>
        <w:rPr>
          <w:rFonts w:ascii="Times New Roman" w:eastAsiaTheme="minorEastAsia" w:hAnsi="Times New Roman" w:cs="Times New Roman"/>
          <w:sz w:val="24"/>
          <w:szCs w:val="24"/>
        </w:rPr>
      </w:pPr>
      <w:r w:rsidRPr="009E5D07">
        <w:rPr>
          <w:rFonts w:ascii="Times New Roman" w:eastAsia="Times New Roman" w:hAnsi="Times New Roman" w:cs="Times New Roman"/>
          <w:sz w:val="24"/>
          <w:szCs w:val="24"/>
        </w:rPr>
        <w:lastRenderedPageBreak/>
        <w:t>Require the interval at which continuing review is conducted to be modified to less than one year as appropriate to the degree of risk</w:t>
      </w:r>
      <w:r w:rsidR="00265568" w:rsidRPr="009E5D07">
        <w:rPr>
          <w:rFonts w:ascii="Times New Roman" w:eastAsia="Times New Roman" w:hAnsi="Times New Roman" w:cs="Times New Roman"/>
          <w:sz w:val="24"/>
          <w:szCs w:val="24"/>
        </w:rPr>
        <w:t>.</w:t>
      </w:r>
    </w:p>
    <w:p w14:paraId="6EE2DAA9" w14:textId="66A64059" w:rsidR="72A1141F" w:rsidRPr="009E5D07" w:rsidRDefault="72A1141F" w:rsidP="00522817">
      <w:pPr>
        <w:pStyle w:val="ListParagraph"/>
        <w:numPr>
          <w:ilvl w:val="1"/>
          <w:numId w:val="15"/>
        </w:numPr>
        <w:spacing w:line="240" w:lineRule="auto"/>
        <w:jc w:val="both"/>
        <w:rPr>
          <w:rFonts w:ascii="Times New Roman" w:eastAsiaTheme="minorEastAsia" w:hAnsi="Times New Roman" w:cs="Times New Roman"/>
          <w:sz w:val="24"/>
          <w:szCs w:val="24"/>
        </w:rPr>
      </w:pPr>
      <w:r w:rsidRPr="009E5D07">
        <w:rPr>
          <w:rFonts w:ascii="Times New Roman" w:eastAsia="Times New Roman" w:hAnsi="Times New Roman" w:cs="Times New Roman"/>
          <w:sz w:val="24"/>
          <w:szCs w:val="24"/>
        </w:rPr>
        <w:t>Require observation of the research or the consent process</w:t>
      </w:r>
      <w:r w:rsidR="00265568" w:rsidRPr="009E5D07">
        <w:rPr>
          <w:rFonts w:ascii="Times New Roman" w:eastAsia="Times New Roman" w:hAnsi="Times New Roman" w:cs="Times New Roman"/>
          <w:sz w:val="24"/>
          <w:szCs w:val="24"/>
        </w:rPr>
        <w:t>.</w:t>
      </w:r>
    </w:p>
    <w:p w14:paraId="68D01230" w14:textId="12FF8A79" w:rsidR="72A1141F" w:rsidRPr="009E5D07" w:rsidRDefault="72A1141F" w:rsidP="00522817">
      <w:pPr>
        <w:pStyle w:val="ListParagraph"/>
        <w:numPr>
          <w:ilvl w:val="1"/>
          <w:numId w:val="15"/>
        </w:numPr>
        <w:spacing w:line="240" w:lineRule="auto"/>
        <w:jc w:val="both"/>
        <w:rPr>
          <w:rFonts w:ascii="Times New Roman" w:eastAsiaTheme="minorEastAsia" w:hAnsi="Times New Roman" w:cs="Times New Roman"/>
          <w:sz w:val="24"/>
          <w:szCs w:val="24"/>
        </w:rPr>
      </w:pPr>
      <w:r w:rsidRPr="009E5D07">
        <w:rPr>
          <w:rFonts w:ascii="Times New Roman" w:eastAsia="Times New Roman" w:hAnsi="Times New Roman" w:cs="Times New Roman"/>
          <w:sz w:val="24"/>
          <w:szCs w:val="24"/>
        </w:rPr>
        <w:t xml:space="preserve"> Require submission of status reports on a defined set schedule to the IRB</w:t>
      </w:r>
      <w:r w:rsidR="00265568" w:rsidRPr="009E5D07">
        <w:rPr>
          <w:rFonts w:ascii="Times New Roman" w:eastAsia="Times New Roman" w:hAnsi="Times New Roman" w:cs="Times New Roman"/>
          <w:sz w:val="24"/>
          <w:szCs w:val="24"/>
        </w:rPr>
        <w:t>.</w:t>
      </w:r>
    </w:p>
    <w:p w14:paraId="36043769" w14:textId="70700C43" w:rsidR="72A1141F" w:rsidRPr="009E5D07" w:rsidRDefault="72A1141F" w:rsidP="00522817">
      <w:pPr>
        <w:pStyle w:val="ListParagraph"/>
        <w:numPr>
          <w:ilvl w:val="1"/>
          <w:numId w:val="15"/>
        </w:numPr>
        <w:spacing w:line="240" w:lineRule="auto"/>
        <w:jc w:val="both"/>
        <w:rPr>
          <w:rFonts w:ascii="Times New Roman" w:eastAsiaTheme="minorEastAsia" w:hAnsi="Times New Roman" w:cs="Times New Roman"/>
          <w:sz w:val="24"/>
          <w:szCs w:val="24"/>
        </w:rPr>
      </w:pPr>
      <w:r w:rsidRPr="009E5D07">
        <w:rPr>
          <w:rFonts w:ascii="Times New Roman" w:eastAsia="Times New Roman" w:hAnsi="Times New Roman" w:cs="Times New Roman"/>
          <w:sz w:val="24"/>
          <w:szCs w:val="24"/>
        </w:rPr>
        <w:t>Require additional education and training for the PI and/or other research team members</w:t>
      </w:r>
      <w:r w:rsidR="00265568" w:rsidRPr="009E5D07">
        <w:rPr>
          <w:rFonts w:ascii="Times New Roman" w:eastAsia="Times New Roman" w:hAnsi="Times New Roman" w:cs="Times New Roman"/>
          <w:sz w:val="24"/>
          <w:szCs w:val="24"/>
        </w:rPr>
        <w:t>.</w:t>
      </w:r>
    </w:p>
    <w:p w14:paraId="4199B3C5" w14:textId="15934B0C" w:rsidR="72A1141F" w:rsidRPr="009E5D07" w:rsidRDefault="72A1141F" w:rsidP="00522817">
      <w:pPr>
        <w:pStyle w:val="ListParagraph"/>
        <w:numPr>
          <w:ilvl w:val="1"/>
          <w:numId w:val="15"/>
        </w:numPr>
        <w:spacing w:line="240" w:lineRule="auto"/>
        <w:jc w:val="both"/>
        <w:rPr>
          <w:rFonts w:ascii="Times New Roman" w:eastAsiaTheme="minorEastAsia" w:hAnsi="Times New Roman" w:cs="Times New Roman"/>
          <w:sz w:val="24"/>
          <w:szCs w:val="24"/>
        </w:rPr>
      </w:pPr>
      <w:r w:rsidRPr="009E5D07">
        <w:rPr>
          <w:rFonts w:ascii="Times New Roman" w:eastAsia="Times New Roman" w:hAnsi="Times New Roman" w:cs="Times New Roman"/>
          <w:sz w:val="24"/>
          <w:szCs w:val="24"/>
        </w:rPr>
        <w:t>Require that random audits be performed of studies conducted by the PI to ensure study procedures are followed as approved by the IRB</w:t>
      </w:r>
      <w:r w:rsidR="00265568" w:rsidRPr="009E5D07">
        <w:rPr>
          <w:rFonts w:ascii="Times New Roman" w:eastAsia="Times New Roman" w:hAnsi="Times New Roman" w:cs="Times New Roman"/>
          <w:sz w:val="24"/>
          <w:szCs w:val="24"/>
        </w:rPr>
        <w:t>.</w:t>
      </w:r>
    </w:p>
    <w:p w14:paraId="1F50CCCA" w14:textId="49000D06" w:rsidR="72A1141F" w:rsidRPr="009E5D07" w:rsidRDefault="72A1141F" w:rsidP="00522817">
      <w:pPr>
        <w:pStyle w:val="ListParagraph"/>
        <w:numPr>
          <w:ilvl w:val="1"/>
          <w:numId w:val="15"/>
        </w:numPr>
        <w:spacing w:line="240" w:lineRule="auto"/>
        <w:jc w:val="both"/>
        <w:rPr>
          <w:rFonts w:ascii="Times New Roman" w:eastAsiaTheme="minorEastAsia" w:hAnsi="Times New Roman" w:cs="Times New Roman"/>
          <w:sz w:val="24"/>
          <w:szCs w:val="24"/>
        </w:rPr>
      </w:pPr>
      <w:r w:rsidRPr="009E5D07">
        <w:rPr>
          <w:rFonts w:ascii="Times New Roman" w:eastAsia="Times New Roman" w:hAnsi="Times New Roman" w:cs="Times New Roman"/>
          <w:sz w:val="24"/>
          <w:szCs w:val="24"/>
        </w:rPr>
        <w:t>As possible, require that previously and/or currently enrolled subjects be notified of the noncompliance and reconsented with the additional relevant information</w:t>
      </w:r>
      <w:r w:rsidR="00265568" w:rsidRPr="009E5D07">
        <w:rPr>
          <w:rFonts w:ascii="Times New Roman" w:eastAsia="Times New Roman" w:hAnsi="Times New Roman" w:cs="Times New Roman"/>
          <w:sz w:val="24"/>
          <w:szCs w:val="24"/>
        </w:rPr>
        <w:t>,</w:t>
      </w:r>
      <w:r w:rsidRPr="009E5D07">
        <w:rPr>
          <w:rFonts w:ascii="Times New Roman" w:eastAsia="Times New Roman" w:hAnsi="Times New Roman" w:cs="Times New Roman"/>
          <w:sz w:val="24"/>
          <w:szCs w:val="24"/>
        </w:rPr>
        <w:t xml:space="preserve"> if applicable, such as information that may relate to a subject’s willingness to continue participation in the research</w:t>
      </w:r>
      <w:r w:rsidR="00265568" w:rsidRPr="009E5D07">
        <w:rPr>
          <w:rFonts w:ascii="Times New Roman" w:eastAsia="Times New Roman" w:hAnsi="Times New Roman" w:cs="Times New Roman"/>
          <w:sz w:val="24"/>
          <w:szCs w:val="24"/>
        </w:rPr>
        <w:t>.</w:t>
      </w:r>
    </w:p>
    <w:p w14:paraId="72062399" w14:textId="22008323" w:rsidR="72A1141F" w:rsidRPr="009E5D07" w:rsidRDefault="72A1141F" w:rsidP="00522817">
      <w:pPr>
        <w:pStyle w:val="ListParagraph"/>
        <w:numPr>
          <w:ilvl w:val="1"/>
          <w:numId w:val="15"/>
        </w:numPr>
        <w:spacing w:line="240" w:lineRule="auto"/>
        <w:jc w:val="both"/>
        <w:rPr>
          <w:rFonts w:ascii="Times New Roman" w:eastAsiaTheme="minorEastAsia" w:hAnsi="Times New Roman" w:cs="Times New Roman"/>
          <w:sz w:val="24"/>
          <w:szCs w:val="24"/>
        </w:rPr>
      </w:pPr>
      <w:r w:rsidRPr="009E5D07">
        <w:rPr>
          <w:rFonts w:ascii="Times New Roman" w:eastAsia="Times New Roman" w:hAnsi="Times New Roman" w:cs="Times New Roman"/>
          <w:sz w:val="24"/>
          <w:szCs w:val="24"/>
        </w:rPr>
        <w:t>Replace the PI of the study with an experienced human subject investigator with a clean research compliance record, selected by the IRB</w:t>
      </w:r>
      <w:r w:rsidR="00265568" w:rsidRPr="009E5D07">
        <w:rPr>
          <w:rFonts w:ascii="Times New Roman" w:eastAsia="Times New Roman" w:hAnsi="Times New Roman" w:cs="Times New Roman"/>
          <w:sz w:val="24"/>
          <w:szCs w:val="24"/>
        </w:rPr>
        <w:t>.</w:t>
      </w:r>
    </w:p>
    <w:p w14:paraId="1493B5BC" w14:textId="5EB48A62" w:rsidR="72A1141F" w:rsidRPr="009E5D07" w:rsidRDefault="72A1141F" w:rsidP="00522817">
      <w:pPr>
        <w:pStyle w:val="ListParagraph"/>
        <w:numPr>
          <w:ilvl w:val="1"/>
          <w:numId w:val="15"/>
        </w:numPr>
        <w:spacing w:line="240" w:lineRule="auto"/>
        <w:jc w:val="both"/>
        <w:rPr>
          <w:rFonts w:ascii="Times New Roman" w:eastAsiaTheme="minorEastAsia" w:hAnsi="Times New Roman" w:cs="Times New Roman"/>
          <w:sz w:val="24"/>
          <w:szCs w:val="24"/>
        </w:rPr>
      </w:pPr>
      <w:r w:rsidRPr="009E5D07">
        <w:rPr>
          <w:rFonts w:ascii="Times New Roman" w:eastAsia="Times New Roman" w:hAnsi="Times New Roman" w:cs="Times New Roman"/>
          <w:sz w:val="24"/>
          <w:szCs w:val="24"/>
        </w:rPr>
        <w:t>Issue a letter of reprimand to the PI and/or other research team member(s)</w:t>
      </w:r>
      <w:r w:rsidR="00265568" w:rsidRPr="009E5D07">
        <w:rPr>
          <w:rFonts w:ascii="Times New Roman" w:eastAsia="Times New Roman" w:hAnsi="Times New Roman" w:cs="Times New Roman"/>
          <w:sz w:val="24"/>
          <w:szCs w:val="24"/>
        </w:rPr>
        <w:t xml:space="preserve">, </w:t>
      </w:r>
      <w:r w:rsidRPr="009E5D07">
        <w:rPr>
          <w:rFonts w:ascii="Times New Roman" w:eastAsia="Times New Roman" w:hAnsi="Times New Roman" w:cs="Times New Roman"/>
          <w:sz w:val="24"/>
          <w:szCs w:val="24"/>
        </w:rPr>
        <w:t>copying as appropriate</w:t>
      </w:r>
      <w:r w:rsidR="00265568" w:rsidRPr="009E5D07">
        <w:rPr>
          <w:rFonts w:ascii="Times New Roman" w:eastAsia="Times New Roman" w:hAnsi="Times New Roman" w:cs="Times New Roman"/>
          <w:sz w:val="24"/>
          <w:szCs w:val="24"/>
        </w:rPr>
        <w:t>,</w:t>
      </w:r>
      <w:r w:rsidRPr="009E5D07">
        <w:rPr>
          <w:rFonts w:ascii="Times New Roman" w:eastAsia="Times New Roman" w:hAnsi="Times New Roman" w:cs="Times New Roman"/>
          <w:sz w:val="24"/>
          <w:szCs w:val="24"/>
        </w:rPr>
        <w:t xml:space="preserve"> the </w:t>
      </w:r>
      <w:r w:rsidR="00265568" w:rsidRPr="009E5D07">
        <w:rPr>
          <w:rFonts w:ascii="Times New Roman" w:eastAsia="Times New Roman" w:hAnsi="Times New Roman" w:cs="Times New Roman"/>
          <w:sz w:val="24"/>
          <w:szCs w:val="24"/>
        </w:rPr>
        <w:t>D</w:t>
      </w:r>
      <w:r w:rsidRPr="009E5D07">
        <w:rPr>
          <w:rFonts w:ascii="Times New Roman" w:eastAsia="Times New Roman" w:hAnsi="Times New Roman" w:cs="Times New Roman"/>
          <w:sz w:val="24"/>
          <w:szCs w:val="24"/>
        </w:rPr>
        <w:t xml:space="preserve">epartment </w:t>
      </w:r>
      <w:r w:rsidR="00265568" w:rsidRPr="009E5D07">
        <w:rPr>
          <w:rFonts w:ascii="Times New Roman" w:eastAsia="Times New Roman" w:hAnsi="Times New Roman" w:cs="Times New Roman"/>
          <w:sz w:val="24"/>
          <w:szCs w:val="24"/>
        </w:rPr>
        <w:t>C</w:t>
      </w:r>
      <w:r w:rsidRPr="009E5D07">
        <w:rPr>
          <w:rFonts w:ascii="Times New Roman" w:eastAsia="Times New Roman" w:hAnsi="Times New Roman" w:cs="Times New Roman"/>
          <w:sz w:val="24"/>
          <w:szCs w:val="24"/>
        </w:rPr>
        <w:t xml:space="preserve">hair, faculty advisor (if a student PI), </w:t>
      </w:r>
      <w:r w:rsidR="00265568" w:rsidRPr="009E5D07">
        <w:rPr>
          <w:rFonts w:ascii="Times New Roman" w:eastAsia="Times New Roman" w:hAnsi="Times New Roman" w:cs="Times New Roman"/>
          <w:sz w:val="24"/>
          <w:szCs w:val="24"/>
        </w:rPr>
        <w:t>D</w:t>
      </w:r>
      <w:r w:rsidRPr="009E5D07">
        <w:rPr>
          <w:rFonts w:ascii="Times New Roman" w:eastAsia="Times New Roman" w:hAnsi="Times New Roman" w:cs="Times New Roman"/>
          <w:sz w:val="24"/>
          <w:szCs w:val="24"/>
        </w:rPr>
        <w:t xml:space="preserve">ean, </w:t>
      </w:r>
      <w:r w:rsidR="00265568" w:rsidRPr="009E5D07">
        <w:rPr>
          <w:rFonts w:ascii="Times New Roman" w:eastAsia="Times New Roman" w:hAnsi="Times New Roman" w:cs="Times New Roman"/>
          <w:sz w:val="24"/>
          <w:szCs w:val="24"/>
        </w:rPr>
        <w:t>P</w:t>
      </w:r>
      <w:r w:rsidRPr="009E5D07">
        <w:rPr>
          <w:rFonts w:ascii="Times New Roman" w:eastAsia="Times New Roman" w:hAnsi="Times New Roman" w:cs="Times New Roman"/>
          <w:sz w:val="24"/>
          <w:szCs w:val="24"/>
        </w:rPr>
        <w:t>rovost, Office of Research and Sponsored Programs, or other administrator</w:t>
      </w:r>
      <w:r w:rsidR="00265568" w:rsidRPr="009E5D07">
        <w:rPr>
          <w:rFonts w:ascii="Times New Roman" w:eastAsia="Times New Roman" w:hAnsi="Times New Roman" w:cs="Times New Roman"/>
          <w:sz w:val="24"/>
          <w:szCs w:val="24"/>
        </w:rPr>
        <w:t>.</w:t>
      </w:r>
    </w:p>
    <w:p w14:paraId="7797CDD9" w14:textId="4F2DAFB6" w:rsidR="72A1141F" w:rsidRPr="009E5D07" w:rsidRDefault="72A1141F" w:rsidP="00522817">
      <w:pPr>
        <w:pStyle w:val="ListParagraph"/>
        <w:numPr>
          <w:ilvl w:val="1"/>
          <w:numId w:val="15"/>
        </w:numPr>
        <w:spacing w:line="240" w:lineRule="auto"/>
        <w:jc w:val="both"/>
        <w:rPr>
          <w:rFonts w:ascii="Times New Roman" w:eastAsiaTheme="minorEastAsia" w:hAnsi="Times New Roman" w:cs="Times New Roman"/>
          <w:sz w:val="24"/>
          <w:szCs w:val="24"/>
        </w:rPr>
      </w:pPr>
      <w:r w:rsidRPr="009E5D07">
        <w:rPr>
          <w:rFonts w:ascii="Times New Roman" w:eastAsia="Times New Roman" w:hAnsi="Times New Roman" w:cs="Times New Roman"/>
          <w:sz w:val="24"/>
          <w:szCs w:val="24"/>
        </w:rPr>
        <w:t>Require the PI to destroy or decommission data collected by noncompliant methods or during a lapse in IRB approval</w:t>
      </w:r>
      <w:r w:rsidR="00265568" w:rsidRPr="009E5D07">
        <w:rPr>
          <w:rFonts w:ascii="Times New Roman" w:eastAsia="Times New Roman" w:hAnsi="Times New Roman" w:cs="Times New Roman"/>
          <w:sz w:val="24"/>
          <w:szCs w:val="24"/>
        </w:rPr>
        <w:t>.</w:t>
      </w:r>
      <w:r w:rsidRPr="009E5D07">
        <w:rPr>
          <w:rFonts w:ascii="Times New Roman" w:hAnsi="Times New Roman" w:cs="Times New Roman"/>
          <w:sz w:val="24"/>
          <w:szCs w:val="24"/>
        </w:rPr>
        <w:tab/>
      </w:r>
    </w:p>
    <w:p w14:paraId="3D4AE338" w14:textId="0B1D8E4A" w:rsidR="72A1141F" w:rsidRPr="009E5D07" w:rsidRDefault="72A1141F" w:rsidP="00522817">
      <w:pPr>
        <w:pStyle w:val="ListParagraph"/>
        <w:numPr>
          <w:ilvl w:val="1"/>
          <w:numId w:val="15"/>
        </w:numPr>
        <w:spacing w:line="240" w:lineRule="auto"/>
        <w:jc w:val="both"/>
        <w:rPr>
          <w:rFonts w:ascii="Times New Roman" w:eastAsiaTheme="minorEastAsia" w:hAnsi="Times New Roman" w:cs="Times New Roman"/>
          <w:sz w:val="24"/>
          <w:szCs w:val="24"/>
        </w:rPr>
      </w:pPr>
      <w:r w:rsidRPr="009E5D07">
        <w:rPr>
          <w:rFonts w:ascii="Times New Roman" w:eastAsia="Times New Roman" w:hAnsi="Times New Roman" w:cs="Times New Roman"/>
          <w:sz w:val="24"/>
          <w:szCs w:val="24"/>
        </w:rPr>
        <w:t>Refer the PI or all the researchers to other UNCP entities (</w:t>
      </w:r>
      <w:r w:rsidRPr="009E5D07">
        <w:rPr>
          <w:rFonts w:ascii="Times New Roman" w:eastAsia="Times New Roman" w:hAnsi="Times New Roman" w:cs="Times New Roman"/>
          <w:i/>
          <w:iCs/>
          <w:sz w:val="24"/>
          <w:szCs w:val="24"/>
        </w:rPr>
        <w:t>e.g</w:t>
      </w:r>
      <w:r w:rsidRPr="009E5D07">
        <w:rPr>
          <w:rFonts w:ascii="Times New Roman" w:eastAsia="Times New Roman" w:hAnsi="Times New Roman" w:cs="Times New Roman"/>
          <w:sz w:val="24"/>
          <w:szCs w:val="24"/>
        </w:rPr>
        <w:t xml:space="preserve">., Office of Research and Sponsored Programs, Provost’s Office, </w:t>
      </w:r>
      <w:r w:rsidR="00265568" w:rsidRPr="009E5D07">
        <w:rPr>
          <w:rFonts w:ascii="Times New Roman" w:eastAsia="Times New Roman" w:hAnsi="Times New Roman" w:cs="Times New Roman"/>
          <w:sz w:val="24"/>
          <w:szCs w:val="24"/>
        </w:rPr>
        <w:t xml:space="preserve">and </w:t>
      </w:r>
      <w:r w:rsidRPr="009E5D07">
        <w:rPr>
          <w:rFonts w:ascii="Times New Roman" w:eastAsia="Times New Roman" w:hAnsi="Times New Roman" w:cs="Times New Roman"/>
          <w:sz w:val="24"/>
          <w:szCs w:val="24"/>
        </w:rPr>
        <w:t>Human Resources)</w:t>
      </w:r>
      <w:r w:rsidR="00265568" w:rsidRPr="009E5D07">
        <w:rPr>
          <w:rFonts w:ascii="Times New Roman" w:eastAsia="Times New Roman" w:hAnsi="Times New Roman" w:cs="Times New Roman"/>
          <w:sz w:val="24"/>
          <w:szCs w:val="24"/>
        </w:rPr>
        <w:t>.</w:t>
      </w:r>
    </w:p>
    <w:p w14:paraId="6143DFA3" w14:textId="07E85F17" w:rsidR="72A1141F" w:rsidRPr="009E5D07" w:rsidRDefault="72A1141F" w:rsidP="00522817">
      <w:pPr>
        <w:pStyle w:val="ListParagraph"/>
        <w:numPr>
          <w:ilvl w:val="1"/>
          <w:numId w:val="15"/>
        </w:numPr>
        <w:spacing w:line="240" w:lineRule="auto"/>
        <w:jc w:val="both"/>
        <w:rPr>
          <w:rFonts w:ascii="Times New Roman" w:eastAsiaTheme="minorEastAsia" w:hAnsi="Times New Roman" w:cs="Times New Roman"/>
          <w:sz w:val="24"/>
          <w:szCs w:val="24"/>
        </w:rPr>
      </w:pPr>
      <w:r w:rsidRPr="009E5D07">
        <w:rPr>
          <w:rFonts w:ascii="Times New Roman" w:eastAsia="Times New Roman" w:hAnsi="Times New Roman" w:cs="Times New Roman"/>
          <w:sz w:val="24"/>
          <w:szCs w:val="24"/>
        </w:rPr>
        <w:t>Suspend any or all components of the research (</w:t>
      </w:r>
      <w:r w:rsidRPr="009E5D07">
        <w:rPr>
          <w:rFonts w:ascii="Times New Roman" w:eastAsia="Times New Roman" w:hAnsi="Times New Roman" w:cs="Times New Roman"/>
          <w:i/>
          <w:iCs/>
          <w:sz w:val="24"/>
          <w:szCs w:val="24"/>
        </w:rPr>
        <w:t>i.e</w:t>
      </w:r>
      <w:r w:rsidRPr="009E5D07">
        <w:rPr>
          <w:rFonts w:ascii="Times New Roman" w:eastAsia="Times New Roman" w:hAnsi="Times New Roman" w:cs="Times New Roman"/>
          <w:sz w:val="24"/>
          <w:szCs w:val="24"/>
        </w:rPr>
        <w:t>., new enrollment, treatment, follow-up and data analysis) until a corrective action plan can be developed and implemented or until additional review can occur</w:t>
      </w:r>
      <w:r w:rsidR="00265568" w:rsidRPr="009E5D07">
        <w:rPr>
          <w:rFonts w:ascii="Times New Roman" w:eastAsia="Times New Roman" w:hAnsi="Times New Roman" w:cs="Times New Roman"/>
          <w:sz w:val="24"/>
          <w:szCs w:val="24"/>
        </w:rPr>
        <w:t>.</w:t>
      </w:r>
    </w:p>
    <w:p w14:paraId="025606A6" w14:textId="78949D4A" w:rsidR="72A1141F" w:rsidRPr="009E5D07" w:rsidRDefault="72A1141F" w:rsidP="00522817">
      <w:pPr>
        <w:pStyle w:val="ListParagraph"/>
        <w:numPr>
          <w:ilvl w:val="1"/>
          <w:numId w:val="15"/>
        </w:numPr>
        <w:spacing w:line="240" w:lineRule="auto"/>
        <w:jc w:val="both"/>
        <w:rPr>
          <w:rFonts w:ascii="Times New Roman" w:eastAsiaTheme="minorEastAsia" w:hAnsi="Times New Roman" w:cs="Times New Roman"/>
          <w:sz w:val="24"/>
          <w:szCs w:val="24"/>
        </w:rPr>
      </w:pPr>
      <w:r w:rsidRPr="009E5D07">
        <w:rPr>
          <w:rFonts w:ascii="Times New Roman" w:eastAsia="Times New Roman" w:hAnsi="Times New Roman" w:cs="Times New Roman"/>
          <w:sz w:val="24"/>
          <w:szCs w:val="24"/>
        </w:rPr>
        <w:t>Terminate the research</w:t>
      </w:r>
      <w:r w:rsidR="00265568" w:rsidRPr="009E5D07">
        <w:rPr>
          <w:rFonts w:ascii="Times New Roman" w:eastAsia="Times New Roman" w:hAnsi="Times New Roman" w:cs="Times New Roman"/>
          <w:sz w:val="24"/>
          <w:szCs w:val="24"/>
        </w:rPr>
        <w:t>.</w:t>
      </w:r>
    </w:p>
    <w:p w14:paraId="0165FE17" w14:textId="4ABA6DE3" w:rsidR="72A1141F" w:rsidRPr="009E5D07" w:rsidRDefault="144C6054" w:rsidP="00522817">
      <w:pPr>
        <w:pStyle w:val="ListParagraph"/>
        <w:numPr>
          <w:ilvl w:val="1"/>
          <w:numId w:val="15"/>
        </w:numPr>
        <w:spacing w:line="240" w:lineRule="auto"/>
        <w:jc w:val="both"/>
        <w:rPr>
          <w:rFonts w:ascii="Times New Roman" w:eastAsiaTheme="minorEastAsia" w:hAnsi="Times New Roman" w:cs="Times New Roman"/>
          <w:sz w:val="24"/>
          <w:szCs w:val="24"/>
        </w:rPr>
      </w:pPr>
      <w:r w:rsidRPr="009E5D07">
        <w:rPr>
          <w:rFonts w:ascii="Times New Roman" w:eastAsia="Times New Roman" w:hAnsi="Times New Roman" w:cs="Times New Roman"/>
          <w:sz w:val="24"/>
          <w:szCs w:val="24"/>
        </w:rPr>
        <w:t>Revoke the privilege of the PI and/or members of the research team to conduct human subjects research or serve as a faculty advisor on a human subjects research study.</w:t>
      </w:r>
    </w:p>
    <w:p w14:paraId="732351E0" w14:textId="617B66DF" w:rsidR="72A1141F" w:rsidRPr="009E5D07" w:rsidRDefault="72A1141F" w:rsidP="00522817">
      <w:pPr>
        <w:spacing w:line="240" w:lineRule="auto"/>
        <w:ind w:left="720" w:hanging="360"/>
        <w:jc w:val="both"/>
        <w:rPr>
          <w:rFonts w:ascii="Times New Roman" w:eastAsia="Times New Roman" w:hAnsi="Times New Roman" w:cs="Times New Roman"/>
          <w:sz w:val="24"/>
          <w:szCs w:val="24"/>
        </w:rPr>
      </w:pPr>
      <w:r w:rsidRPr="009E5D07">
        <w:rPr>
          <w:rFonts w:ascii="Times New Roman" w:eastAsia="Times New Roman" w:hAnsi="Times New Roman" w:cs="Times New Roman"/>
          <w:b/>
          <w:bCs/>
          <w:sz w:val="24"/>
          <w:szCs w:val="24"/>
        </w:rPr>
        <w:t xml:space="preserve">B4. </w:t>
      </w:r>
      <w:r w:rsidRPr="009E5D07">
        <w:rPr>
          <w:rFonts w:ascii="Times New Roman" w:eastAsia="Times New Roman" w:hAnsi="Times New Roman" w:cs="Times New Roman"/>
          <w:sz w:val="24"/>
          <w:szCs w:val="24"/>
        </w:rPr>
        <w:t xml:space="preserve">The IRB will review the investigation report at the next scheduled full board meeting and will consider the recommendations made by the investigation team. The IRB </w:t>
      </w:r>
      <w:r w:rsidR="00265568" w:rsidRPr="009E5D07">
        <w:rPr>
          <w:rFonts w:ascii="Times New Roman" w:eastAsia="Times New Roman" w:hAnsi="Times New Roman" w:cs="Times New Roman"/>
          <w:sz w:val="24"/>
          <w:szCs w:val="24"/>
        </w:rPr>
        <w:t>C</w:t>
      </w:r>
      <w:r w:rsidRPr="009E5D07">
        <w:rPr>
          <w:rFonts w:ascii="Times New Roman" w:eastAsia="Times New Roman" w:hAnsi="Times New Roman" w:cs="Times New Roman"/>
          <w:sz w:val="24"/>
          <w:szCs w:val="24"/>
        </w:rPr>
        <w:t>hair will issue a final determination letter to the PI to convey the final decisions of the board. The letter shall also describe the PI’s appeal rights.</w:t>
      </w:r>
    </w:p>
    <w:p w14:paraId="562650D4" w14:textId="77777777" w:rsidR="00265568" w:rsidRPr="009E5D07" w:rsidRDefault="00265568" w:rsidP="00522817">
      <w:pPr>
        <w:spacing w:line="240" w:lineRule="auto"/>
        <w:ind w:left="720" w:hanging="360"/>
        <w:jc w:val="both"/>
        <w:rPr>
          <w:rFonts w:ascii="Times New Roman" w:hAnsi="Times New Roman" w:cs="Times New Roman"/>
          <w:sz w:val="24"/>
          <w:szCs w:val="24"/>
        </w:rPr>
      </w:pPr>
    </w:p>
    <w:p w14:paraId="63560BC0" w14:textId="367DAAB3" w:rsidR="72A1141F" w:rsidRPr="009E5D07" w:rsidRDefault="72A1141F" w:rsidP="00522817">
      <w:pPr>
        <w:spacing w:line="240" w:lineRule="auto"/>
        <w:jc w:val="both"/>
        <w:rPr>
          <w:rFonts w:ascii="Times New Roman" w:hAnsi="Times New Roman" w:cs="Times New Roman"/>
          <w:sz w:val="24"/>
          <w:szCs w:val="24"/>
        </w:rPr>
      </w:pPr>
      <w:r w:rsidRPr="009E5D07">
        <w:rPr>
          <w:rFonts w:ascii="Times New Roman" w:eastAsia="Times New Roman" w:hAnsi="Times New Roman" w:cs="Times New Roman"/>
          <w:b/>
          <w:bCs/>
          <w:sz w:val="24"/>
          <w:szCs w:val="24"/>
        </w:rPr>
        <w:t>C. Allegations of Non-Compliance</w:t>
      </w:r>
    </w:p>
    <w:p w14:paraId="5824B222" w14:textId="16CD206B" w:rsidR="72A1141F" w:rsidRPr="009E5D07" w:rsidRDefault="72A1141F" w:rsidP="00522817">
      <w:pPr>
        <w:spacing w:line="240" w:lineRule="auto"/>
        <w:jc w:val="both"/>
        <w:rPr>
          <w:rFonts w:ascii="Times New Roman" w:eastAsia="Times New Roman" w:hAnsi="Times New Roman" w:cs="Times New Roman"/>
          <w:sz w:val="24"/>
          <w:szCs w:val="24"/>
        </w:rPr>
      </w:pPr>
      <w:r w:rsidRPr="009E5D07">
        <w:rPr>
          <w:rFonts w:ascii="Times New Roman" w:eastAsia="Times New Roman" w:hAnsi="Times New Roman" w:cs="Times New Roman"/>
          <w:sz w:val="24"/>
          <w:szCs w:val="24"/>
        </w:rPr>
        <w:t>Reports or complaints of non-compliance may be submitted to the IRB or to the Office of Sponsored Research Programs verbally or in writing. Reports may arise internally (</w:t>
      </w:r>
      <w:r w:rsidRPr="009E5D07">
        <w:rPr>
          <w:rFonts w:ascii="Times New Roman" w:eastAsia="Times New Roman" w:hAnsi="Times New Roman" w:cs="Times New Roman"/>
          <w:i/>
          <w:iCs/>
          <w:sz w:val="24"/>
          <w:szCs w:val="24"/>
        </w:rPr>
        <w:t>e.g</w:t>
      </w:r>
      <w:r w:rsidRPr="009E5D07">
        <w:rPr>
          <w:rFonts w:ascii="Times New Roman" w:eastAsia="Times New Roman" w:hAnsi="Times New Roman" w:cs="Times New Roman"/>
          <w:sz w:val="24"/>
          <w:szCs w:val="24"/>
        </w:rPr>
        <w:t>., from faculty, staff, investigator self-reports, Office of Sponsored Research Programs staff, and IRB members) or from external constituents (</w:t>
      </w:r>
      <w:r w:rsidRPr="009E5D07">
        <w:rPr>
          <w:rFonts w:ascii="Times New Roman" w:eastAsia="Times New Roman" w:hAnsi="Times New Roman" w:cs="Times New Roman"/>
          <w:i/>
          <w:iCs/>
          <w:sz w:val="24"/>
          <w:szCs w:val="24"/>
        </w:rPr>
        <w:t>e.g</w:t>
      </w:r>
      <w:r w:rsidRPr="009E5D07">
        <w:rPr>
          <w:rFonts w:ascii="Times New Roman" w:eastAsia="Times New Roman" w:hAnsi="Times New Roman" w:cs="Times New Roman"/>
          <w:sz w:val="24"/>
          <w:szCs w:val="24"/>
        </w:rPr>
        <w:t>., participants</w:t>
      </w:r>
      <w:r w:rsidR="003C4B11" w:rsidRPr="009E5D07">
        <w:rPr>
          <w:rFonts w:ascii="Times New Roman" w:eastAsia="Times New Roman" w:hAnsi="Times New Roman" w:cs="Times New Roman"/>
          <w:sz w:val="24"/>
          <w:szCs w:val="24"/>
        </w:rPr>
        <w:t xml:space="preserve"> and</w:t>
      </w:r>
      <w:r w:rsidRPr="009E5D07">
        <w:rPr>
          <w:rFonts w:ascii="Times New Roman" w:eastAsia="Times New Roman" w:hAnsi="Times New Roman" w:cs="Times New Roman"/>
          <w:sz w:val="24"/>
          <w:szCs w:val="24"/>
        </w:rPr>
        <w:t xml:space="preserve"> regulators). The Office of Sponsored Research Programs and the IRB will fully maintain the confidentiality of submitter, as permitted by law.</w:t>
      </w:r>
    </w:p>
    <w:p w14:paraId="320C2DD5" w14:textId="36B6B365" w:rsidR="00522817" w:rsidRPr="009E5D07" w:rsidRDefault="72A1141F" w:rsidP="00522817">
      <w:pPr>
        <w:spacing w:line="240" w:lineRule="auto"/>
        <w:ind w:left="361" w:hanging="361"/>
        <w:jc w:val="both"/>
        <w:rPr>
          <w:rFonts w:ascii="Times New Roman" w:eastAsia="Times New Roman" w:hAnsi="Times New Roman" w:cs="Times New Roman"/>
          <w:sz w:val="24"/>
          <w:szCs w:val="24"/>
        </w:rPr>
      </w:pPr>
      <w:r w:rsidRPr="009E5D07">
        <w:rPr>
          <w:rFonts w:ascii="Times New Roman" w:eastAsia="Times New Roman" w:hAnsi="Times New Roman" w:cs="Times New Roman"/>
          <w:sz w:val="24"/>
          <w:szCs w:val="24"/>
        </w:rPr>
        <w:t xml:space="preserve"> </w:t>
      </w:r>
    </w:p>
    <w:p w14:paraId="255B52C0" w14:textId="6EF20864" w:rsidR="72A1141F" w:rsidRPr="009E5D07" w:rsidRDefault="72A1141F" w:rsidP="00522817">
      <w:pPr>
        <w:spacing w:line="240" w:lineRule="auto"/>
        <w:ind w:left="361" w:hanging="361"/>
        <w:jc w:val="both"/>
        <w:rPr>
          <w:rFonts w:ascii="Times New Roman" w:hAnsi="Times New Roman" w:cs="Times New Roman"/>
          <w:sz w:val="24"/>
          <w:szCs w:val="24"/>
        </w:rPr>
      </w:pPr>
      <w:r w:rsidRPr="009E5D07">
        <w:rPr>
          <w:rFonts w:ascii="Times New Roman" w:eastAsia="Times" w:hAnsi="Times New Roman" w:cs="Times New Roman"/>
          <w:b/>
          <w:bCs/>
          <w:sz w:val="24"/>
          <w:szCs w:val="24"/>
        </w:rPr>
        <w:t>D.</w:t>
      </w:r>
      <w:r w:rsidRPr="009E5D07">
        <w:rPr>
          <w:rFonts w:ascii="Times New Roman" w:eastAsia="Times New Roman" w:hAnsi="Times New Roman" w:cs="Times New Roman"/>
          <w:sz w:val="24"/>
          <w:szCs w:val="24"/>
        </w:rPr>
        <w:t xml:space="preserve">     </w:t>
      </w:r>
      <w:r w:rsidRPr="009E5D07">
        <w:rPr>
          <w:rFonts w:ascii="Times New Roman" w:eastAsia="Times New Roman" w:hAnsi="Times New Roman" w:cs="Times New Roman"/>
          <w:b/>
          <w:bCs/>
          <w:sz w:val="24"/>
          <w:szCs w:val="24"/>
        </w:rPr>
        <w:t>Appeals and Reporting Procedures</w:t>
      </w:r>
    </w:p>
    <w:p w14:paraId="0143B256" w14:textId="05CC63BE" w:rsidR="72A1141F" w:rsidRPr="009E5D07" w:rsidRDefault="72A1141F" w:rsidP="00522817">
      <w:pPr>
        <w:spacing w:line="240" w:lineRule="auto"/>
        <w:ind w:left="720" w:hanging="360"/>
        <w:jc w:val="both"/>
        <w:rPr>
          <w:rFonts w:ascii="Times New Roman" w:hAnsi="Times New Roman" w:cs="Times New Roman"/>
          <w:sz w:val="24"/>
          <w:szCs w:val="24"/>
        </w:rPr>
      </w:pPr>
      <w:r w:rsidRPr="009E5D07">
        <w:rPr>
          <w:rFonts w:ascii="Times New Roman" w:eastAsia="Times New Roman" w:hAnsi="Times New Roman" w:cs="Times New Roman"/>
          <w:b/>
          <w:bCs/>
          <w:sz w:val="24"/>
          <w:szCs w:val="24"/>
        </w:rPr>
        <w:lastRenderedPageBreak/>
        <w:t xml:space="preserve">D1. </w:t>
      </w:r>
      <w:r w:rsidRPr="009E5D07">
        <w:rPr>
          <w:rFonts w:ascii="Times New Roman" w:eastAsia="Times New Roman" w:hAnsi="Times New Roman" w:cs="Times New Roman"/>
          <w:sz w:val="24"/>
          <w:szCs w:val="24"/>
        </w:rPr>
        <w:t xml:space="preserve">    </w:t>
      </w:r>
      <w:r w:rsidRPr="009E5D07">
        <w:rPr>
          <w:rFonts w:ascii="Times New Roman" w:eastAsia="Times New Roman" w:hAnsi="Times New Roman" w:cs="Times New Roman"/>
          <w:b/>
          <w:bCs/>
          <w:sz w:val="24"/>
          <w:szCs w:val="24"/>
        </w:rPr>
        <w:t xml:space="preserve">Appeal </w:t>
      </w:r>
    </w:p>
    <w:p w14:paraId="4037D87E" w14:textId="76A32E83" w:rsidR="72A1141F" w:rsidRPr="009E5D07" w:rsidRDefault="00B97743" w:rsidP="00B97743">
      <w:pPr>
        <w:spacing w:line="240" w:lineRule="auto"/>
        <w:ind w:left="720"/>
        <w:jc w:val="both"/>
        <w:rPr>
          <w:rFonts w:ascii="Times New Roman" w:hAnsi="Times New Roman" w:cs="Times New Roman"/>
          <w:sz w:val="24"/>
          <w:szCs w:val="24"/>
        </w:rPr>
      </w:pPr>
      <w:r w:rsidRPr="009E5D07">
        <w:rPr>
          <w:rFonts w:ascii="Times New Roman" w:eastAsia="Times New Roman" w:hAnsi="Times New Roman" w:cs="Times New Roman"/>
          <w:sz w:val="24"/>
          <w:szCs w:val="24"/>
        </w:rPr>
        <w:t xml:space="preserve">Any decision by the IRB may be appealed in writing to the Office of Research and Sponsored Programs no later than ten (10) business days from receipt of the IRB’s decision by the party appealing the decision.  </w:t>
      </w:r>
      <w:r w:rsidR="72A1141F" w:rsidRPr="009E5D07">
        <w:rPr>
          <w:rFonts w:ascii="Times New Roman" w:eastAsia="Times New Roman" w:hAnsi="Times New Roman" w:cs="Times New Roman"/>
          <w:sz w:val="24"/>
          <w:szCs w:val="24"/>
        </w:rPr>
        <w:t xml:space="preserve">The Office of Research and Sponsored Programs' decision is final. The only grounds for </w:t>
      </w:r>
      <w:r w:rsidRPr="009E5D07">
        <w:rPr>
          <w:rFonts w:ascii="Times New Roman" w:eastAsia="Times New Roman" w:hAnsi="Times New Roman" w:cs="Times New Roman"/>
          <w:sz w:val="24"/>
          <w:szCs w:val="24"/>
        </w:rPr>
        <w:t xml:space="preserve">appeal are: 1) If the IRB’s decision lacks factual basis, or 2) If the IRB’s decision runs counter with university policy, state law, or federal regulation.  </w:t>
      </w:r>
      <w:r w:rsidR="72A1141F" w:rsidRPr="009E5D07">
        <w:rPr>
          <w:rFonts w:ascii="Times New Roman" w:eastAsia="Times New Roman" w:hAnsi="Times New Roman" w:cs="Times New Roman"/>
          <w:sz w:val="24"/>
          <w:szCs w:val="24"/>
        </w:rPr>
        <w:t>Mere disagreement with the IRB’s decision does not constitute grounds for an appeal. The Office of Research and Sponsored Programs’ decision will be reported to the IRB at the next scheduled meeting and will be recorded into the meeting minutes.</w:t>
      </w:r>
    </w:p>
    <w:p w14:paraId="669F1A28" w14:textId="0253287B" w:rsidR="72A1141F" w:rsidRPr="009E5D07" w:rsidRDefault="72A1141F" w:rsidP="00522817">
      <w:pPr>
        <w:spacing w:line="240" w:lineRule="auto"/>
        <w:jc w:val="both"/>
        <w:rPr>
          <w:rFonts w:ascii="Times New Roman" w:hAnsi="Times New Roman" w:cs="Times New Roman"/>
          <w:sz w:val="24"/>
          <w:szCs w:val="24"/>
        </w:rPr>
      </w:pPr>
      <w:r w:rsidRPr="009E5D07">
        <w:rPr>
          <w:rFonts w:ascii="Times New Roman" w:eastAsia="Times New Roman" w:hAnsi="Times New Roman" w:cs="Times New Roman"/>
          <w:sz w:val="24"/>
          <w:szCs w:val="24"/>
        </w:rPr>
        <w:t xml:space="preserve"> </w:t>
      </w:r>
    </w:p>
    <w:p w14:paraId="7715FD6E" w14:textId="1A56EF5F" w:rsidR="72A1141F" w:rsidRPr="009E5D07" w:rsidRDefault="72A1141F" w:rsidP="00522817">
      <w:pPr>
        <w:spacing w:line="240" w:lineRule="auto"/>
        <w:ind w:left="720" w:hanging="360"/>
        <w:jc w:val="both"/>
        <w:rPr>
          <w:rFonts w:ascii="Times New Roman" w:hAnsi="Times New Roman" w:cs="Times New Roman"/>
          <w:sz w:val="24"/>
          <w:szCs w:val="24"/>
        </w:rPr>
      </w:pPr>
      <w:r w:rsidRPr="009E5D07">
        <w:rPr>
          <w:rFonts w:ascii="Times New Roman" w:eastAsia="Times New Roman" w:hAnsi="Times New Roman" w:cs="Times New Roman"/>
          <w:b/>
          <w:bCs/>
          <w:sz w:val="24"/>
          <w:szCs w:val="24"/>
        </w:rPr>
        <w:t>D2.</w:t>
      </w:r>
      <w:r w:rsidRPr="009E5D07">
        <w:rPr>
          <w:rFonts w:ascii="Times New Roman" w:eastAsia="Times New Roman" w:hAnsi="Times New Roman" w:cs="Times New Roman"/>
          <w:sz w:val="24"/>
          <w:szCs w:val="24"/>
        </w:rPr>
        <w:t xml:space="preserve">     </w:t>
      </w:r>
      <w:r w:rsidRPr="009E5D07">
        <w:rPr>
          <w:rFonts w:ascii="Times New Roman" w:eastAsia="Times New Roman" w:hAnsi="Times New Roman" w:cs="Times New Roman"/>
          <w:b/>
          <w:bCs/>
          <w:sz w:val="24"/>
          <w:szCs w:val="24"/>
        </w:rPr>
        <w:t>Reporting to Federal Agencies</w:t>
      </w:r>
    </w:p>
    <w:p w14:paraId="66695590" w14:textId="09DD3600" w:rsidR="72A1141F" w:rsidRPr="009E5D07" w:rsidRDefault="72A1141F" w:rsidP="00522817">
      <w:pPr>
        <w:spacing w:line="240" w:lineRule="auto"/>
        <w:ind w:left="720"/>
        <w:jc w:val="both"/>
        <w:rPr>
          <w:rFonts w:ascii="Times New Roman" w:eastAsia="Times New Roman" w:hAnsi="Times New Roman" w:cs="Times New Roman"/>
          <w:sz w:val="24"/>
          <w:szCs w:val="24"/>
        </w:rPr>
      </w:pPr>
      <w:r w:rsidRPr="009E5D07">
        <w:rPr>
          <w:rFonts w:ascii="Times New Roman" w:eastAsia="Times New Roman" w:hAnsi="Times New Roman" w:cs="Times New Roman"/>
          <w:b/>
          <w:bCs/>
          <w:sz w:val="24"/>
          <w:szCs w:val="24"/>
        </w:rPr>
        <w:t>D2a.</w:t>
      </w:r>
      <w:r w:rsidRPr="009E5D07">
        <w:rPr>
          <w:rFonts w:ascii="Times New Roman" w:eastAsia="Times New Roman" w:hAnsi="Times New Roman" w:cs="Times New Roman"/>
          <w:sz w:val="24"/>
          <w:szCs w:val="24"/>
        </w:rPr>
        <w:t xml:space="preserve">     As required by applicable law, regulation, or UNCP policies, the Office of Research and Sponsored Programs shall report, in writing, the finding of serious or continuing noncompliance and the action(s) taken by UNCP to address such noncompliance to regulatory agencies, the study sponsor (if any), and UNCP officials (</w:t>
      </w:r>
      <w:r w:rsidRPr="009E5D07">
        <w:rPr>
          <w:rFonts w:ascii="Times New Roman" w:eastAsia="Times New Roman" w:hAnsi="Times New Roman" w:cs="Times New Roman"/>
          <w:i/>
          <w:iCs/>
          <w:sz w:val="24"/>
          <w:szCs w:val="24"/>
        </w:rPr>
        <w:t>e.g</w:t>
      </w:r>
      <w:r w:rsidRPr="009E5D07">
        <w:rPr>
          <w:rFonts w:ascii="Times New Roman" w:eastAsia="Times New Roman" w:hAnsi="Times New Roman" w:cs="Times New Roman"/>
          <w:sz w:val="24"/>
          <w:szCs w:val="24"/>
        </w:rPr>
        <w:t xml:space="preserve">., the Provost, </w:t>
      </w:r>
      <w:r w:rsidR="00053FAD" w:rsidRPr="009E5D07">
        <w:rPr>
          <w:rFonts w:ascii="Times New Roman" w:eastAsia="Times New Roman" w:hAnsi="Times New Roman" w:cs="Times New Roman"/>
          <w:sz w:val="24"/>
          <w:szCs w:val="24"/>
        </w:rPr>
        <w:t>D</w:t>
      </w:r>
      <w:r w:rsidRPr="009E5D07">
        <w:rPr>
          <w:rFonts w:ascii="Times New Roman" w:eastAsia="Times New Roman" w:hAnsi="Times New Roman" w:cs="Times New Roman"/>
          <w:sz w:val="24"/>
          <w:szCs w:val="24"/>
        </w:rPr>
        <w:t xml:space="preserve">epartmental </w:t>
      </w:r>
      <w:r w:rsidR="00053FAD" w:rsidRPr="009E5D07">
        <w:rPr>
          <w:rFonts w:ascii="Times New Roman" w:eastAsia="Times New Roman" w:hAnsi="Times New Roman" w:cs="Times New Roman"/>
          <w:sz w:val="24"/>
          <w:szCs w:val="24"/>
        </w:rPr>
        <w:t>C</w:t>
      </w:r>
      <w:r w:rsidRPr="009E5D07">
        <w:rPr>
          <w:rFonts w:ascii="Times New Roman" w:eastAsia="Times New Roman" w:hAnsi="Times New Roman" w:cs="Times New Roman"/>
          <w:sz w:val="24"/>
          <w:szCs w:val="24"/>
        </w:rPr>
        <w:t xml:space="preserve">hairs, </w:t>
      </w:r>
      <w:r w:rsidR="00053FAD" w:rsidRPr="009E5D07">
        <w:rPr>
          <w:rFonts w:ascii="Times New Roman" w:eastAsia="Times New Roman" w:hAnsi="Times New Roman" w:cs="Times New Roman"/>
          <w:sz w:val="24"/>
          <w:szCs w:val="24"/>
        </w:rPr>
        <w:t>or research supervisor</w:t>
      </w:r>
      <w:r w:rsidRPr="009E5D07">
        <w:rPr>
          <w:rFonts w:ascii="Times New Roman" w:eastAsia="Times New Roman" w:hAnsi="Times New Roman" w:cs="Times New Roman"/>
          <w:sz w:val="24"/>
          <w:szCs w:val="24"/>
        </w:rPr>
        <w:t>)</w:t>
      </w:r>
      <w:r w:rsidR="00053FAD" w:rsidRPr="009E5D07">
        <w:rPr>
          <w:rFonts w:ascii="Times New Roman" w:eastAsia="Times New Roman" w:hAnsi="Times New Roman" w:cs="Times New Roman"/>
          <w:sz w:val="24"/>
          <w:szCs w:val="24"/>
        </w:rPr>
        <w:t>,</w:t>
      </w:r>
      <w:r w:rsidRPr="009E5D07">
        <w:rPr>
          <w:rFonts w:ascii="Times New Roman" w:eastAsia="Times New Roman" w:hAnsi="Times New Roman" w:cs="Times New Roman"/>
          <w:sz w:val="24"/>
          <w:szCs w:val="24"/>
        </w:rPr>
        <w:t xml:space="preserve"> as appropriate.</w:t>
      </w:r>
    </w:p>
    <w:p w14:paraId="0A2545D8" w14:textId="0BB485AF" w:rsidR="72A1141F" w:rsidRPr="009E5D07" w:rsidRDefault="72A1141F" w:rsidP="00522817">
      <w:pPr>
        <w:spacing w:line="240" w:lineRule="auto"/>
        <w:ind w:left="720"/>
        <w:jc w:val="both"/>
        <w:rPr>
          <w:rFonts w:ascii="Times New Roman" w:hAnsi="Times New Roman" w:cs="Times New Roman"/>
          <w:sz w:val="24"/>
          <w:szCs w:val="24"/>
        </w:rPr>
      </w:pPr>
      <w:r w:rsidRPr="009E5D07">
        <w:rPr>
          <w:rFonts w:ascii="Times New Roman" w:eastAsia="Times New Roman" w:hAnsi="Times New Roman" w:cs="Times New Roman"/>
          <w:b/>
          <w:bCs/>
          <w:sz w:val="24"/>
          <w:szCs w:val="24"/>
        </w:rPr>
        <w:t>D2b.</w:t>
      </w:r>
      <w:r w:rsidRPr="009E5D07">
        <w:rPr>
          <w:rFonts w:ascii="Times New Roman" w:eastAsia="Times New Roman" w:hAnsi="Times New Roman" w:cs="Times New Roman"/>
          <w:sz w:val="24"/>
          <w:szCs w:val="24"/>
        </w:rPr>
        <w:t xml:space="preserve">     In accordance with 45 CFR 46.103(a) and (b)(5) and UNCP’s Assurance to the Office of Human Research Protections (OHRP), the IRB must report to OHRP when the following occurs on human subjects research supported by any agency that has adopted the Common Rule:</w:t>
      </w:r>
    </w:p>
    <w:p w14:paraId="7D2F1959" w14:textId="2B88A7C0" w:rsidR="72A1141F" w:rsidRPr="009E5D07" w:rsidRDefault="72A1141F" w:rsidP="00522817">
      <w:pPr>
        <w:pStyle w:val="ListParagraph"/>
        <w:numPr>
          <w:ilvl w:val="0"/>
          <w:numId w:val="16"/>
        </w:numPr>
        <w:spacing w:line="240" w:lineRule="auto"/>
        <w:rPr>
          <w:rFonts w:ascii="Times New Roman" w:eastAsiaTheme="minorEastAsia" w:hAnsi="Times New Roman" w:cs="Times New Roman"/>
          <w:sz w:val="24"/>
          <w:szCs w:val="24"/>
        </w:rPr>
      </w:pPr>
      <w:r w:rsidRPr="009E5D07">
        <w:rPr>
          <w:rFonts w:ascii="Times New Roman" w:eastAsia="Times New Roman" w:hAnsi="Times New Roman" w:cs="Times New Roman"/>
          <w:sz w:val="24"/>
          <w:szCs w:val="24"/>
        </w:rPr>
        <w:t>Any unanticipated problems involving risks to subjects or others</w:t>
      </w:r>
      <w:r w:rsidR="00053FAD" w:rsidRPr="009E5D07">
        <w:rPr>
          <w:rFonts w:ascii="Times New Roman" w:eastAsia="Times New Roman" w:hAnsi="Times New Roman" w:cs="Times New Roman"/>
          <w:sz w:val="24"/>
          <w:szCs w:val="24"/>
        </w:rPr>
        <w:t>.</w:t>
      </w:r>
    </w:p>
    <w:p w14:paraId="0D81ADFC" w14:textId="34982CEB" w:rsidR="72A1141F" w:rsidRPr="009E5D07" w:rsidRDefault="72A1141F" w:rsidP="00522817">
      <w:pPr>
        <w:pStyle w:val="ListParagraph"/>
        <w:numPr>
          <w:ilvl w:val="0"/>
          <w:numId w:val="16"/>
        </w:numPr>
        <w:spacing w:line="240" w:lineRule="auto"/>
        <w:rPr>
          <w:rFonts w:ascii="Times New Roman" w:eastAsiaTheme="minorEastAsia" w:hAnsi="Times New Roman" w:cs="Times New Roman"/>
          <w:sz w:val="24"/>
          <w:szCs w:val="24"/>
        </w:rPr>
      </w:pPr>
      <w:r w:rsidRPr="009E5D07">
        <w:rPr>
          <w:rFonts w:ascii="Times New Roman" w:eastAsia="Times New Roman" w:hAnsi="Times New Roman" w:cs="Times New Roman"/>
          <w:sz w:val="24"/>
          <w:szCs w:val="24"/>
        </w:rPr>
        <w:t>Any serious or continuing noncompliance with this policy or the requirements or determinations of the IRB</w:t>
      </w:r>
      <w:r w:rsidR="00053FAD" w:rsidRPr="009E5D07">
        <w:rPr>
          <w:rFonts w:ascii="Times New Roman" w:eastAsia="Times New Roman" w:hAnsi="Times New Roman" w:cs="Times New Roman"/>
          <w:sz w:val="24"/>
          <w:szCs w:val="24"/>
        </w:rPr>
        <w:t>.</w:t>
      </w:r>
    </w:p>
    <w:p w14:paraId="48045756" w14:textId="4D0007BD" w:rsidR="72A1141F" w:rsidRPr="009E5D07" w:rsidRDefault="72A1141F" w:rsidP="00522817">
      <w:pPr>
        <w:pStyle w:val="ListParagraph"/>
        <w:numPr>
          <w:ilvl w:val="0"/>
          <w:numId w:val="16"/>
        </w:numPr>
        <w:spacing w:line="240" w:lineRule="auto"/>
        <w:rPr>
          <w:rFonts w:ascii="Times New Roman" w:eastAsiaTheme="minorEastAsia" w:hAnsi="Times New Roman" w:cs="Times New Roman"/>
          <w:sz w:val="24"/>
          <w:szCs w:val="24"/>
        </w:rPr>
      </w:pPr>
      <w:r w:rsidRPr="009E5D07">
        <w:rPr>
          <w:rFonts w:ascii="Times New Roman" w:eastAsia="Times New Roman" w:hAnsi="Times New Roman" w:cs="Times New Roman"/>
          <w:sz w:val="24"/>
          <w:szCs w:val="24"/>
        </w:rPr>
        <w:t>Any suspension or termination of IRB approval</w:t>
      </w:r>
      <w:r w:rsidR="00053FAD" w:rsidRPr="009E5D07">
        <w:rPr>
          <w:rFonts w:ascii="Times New Roman" w:eastAsia="Times New Roman" w:hAnsi="Times New Roman" w:cs="Times New Roman"/>
          <w:sz w:val="24"/>
          <w:szCs w:val="24"/>
        </w:rPr>
        <w:t>.</w:t>
      </w:r>
    </w:p>
    <w:p w14:paraId="15132DAD" w14:textId="34EC7344" w:rsidR="72A1141F" w:rsidRPr="009E5D07" w:rsidRDefault="72A1141F" w:rsidP="00522817">
      <w:pPr>
        <w:spacing w:line="240" w:lineRule="auto"/>
        <w:rPr>
          <w:rFonts w:ascii="Times New Roman" w:hAnsi="Times New Roman" w:cs="Times New Roman"/>
          <w:sz w:val="24"/>
          <w:szCs w:val="24"/>
        </w:rPr>
      </w:pPr>
      <w:r w:rsidRPr="009E5D07">
        <w:rPr>
          <w:rFonts w:ascii="Times New Roman" w:eastAsia="Times New Roman" w:hAnsi="Times New Roman" w:cs="Times New Roman"/>
          <w:sz w:val="24"/>
          <w:szCs w:val="24"/>
        </w:rPr>
        <w:t xml:space="preserve"> </w:t>
      </w:r>
    </w:p>
    <w:p w14:paraId="5D1F1204" w14:textId="523BBFA4" w:rsidR="72A1141F" w:rsidRPr="009E5D07" w:rsidRDefault="72A1141F" w:rsidP="00522817">
      <w:pPr>
        <w:spacing w:line="240" w:lineRule="auto"/>
        <w:ind w:left="720" w:hanging="720"/>
        <w:jc w:val="both"/>
        <w:rPr>
          <w:rFonts w:ascii="Times New Roman" w:hAnsi="Times New Roman" w:cs="Times New Roman"/>
          <w:sz w:val="24"/>
          <w:szCs w:val="24"/>
        </w:rPr>
      </w:pPr>
      <w:r w:rsidRPr="009E5D07">
        <w:rPr>
          <w:rFonts w:ascii="Times New Roman" w:eastAsia="Times New Roman" w:hAnsi="Times New Roman" w:cs="Times New Roman"/>
          <w:sz w:val="24"/>
          <w:szCs w:val="24"/>
        </w:rPr>
        <w:t xml:space="preserve">V.        </w:t>
      </w:r>
      <w:r w:rsidRPr="009E5D07">
        <w:rPr>
          <w:rFonts w:ascii="Times New Roman" w:eastAsia="Times New Roman" w:hAnsi="Times New Roman" w:cs="Times New Roman"/>
          <w:b/>
          <w:bCs/>
          <w:sz w:val="24"/>
          <w:szCs w:val="24"/>
        </w:rPr>
        <w:t>Resources</w:t>
      </w:r>
    </w:p>
    <w:p w14:paraId="1EC1A73B" w14:textId="67289DBE" w:rsidR="72A1141F" w:rsidRPr="009E5D07" w:rsidRDefault="72A1141F" w:rsidP="00522817">
      <w:pPr>
        <w:spacing w:line="240" w:lineRule="auto"/>
        <w:jc w:val="both"/>
        <w:rPr>
          <w:rFonts w:ascii="Times New Roman" w:hAnsi="Times New Roman" w:cs="Times New Roman"/>
          <w:sz w:val="24"/>
          <w:szCs w:val="24"/>
        </w:rPr>
      </w:pPr>
      <w:r w:rsidRPr="009E5D07">
        <w:rPr>
          <w:rFonts w:ascii="Times New Roman" w:eastAsia="Times New Roman" w:hAnsi="Times New Roman" w:cs="Times New Roman"/>
          <w:b/>
          <w:bCs/>
          <w:sz w:val="24"/>
          <w:szCs w:val="24"/>
        </w:rPr>
        <w:t xml:space="preserve"> </w:t>
      </w:r>
    </w:p>
    <w:p w14:paraId="1A35EEB4" w14:textId="4D75C2B1" w:rsidR="72A1141F" w:rsidRPr="009E5D07" w:rsidRDefault="72A1141F" w:rsidP="00522817">
      <w:pPr>
        <w:spacing w:line="240" w:lineRule="auto"/>
        <w:ind w:left="721" w:hanging="721"/>
        <w:jc w:val="both"/>
        <w:rPr>
          <w:rFonts w:ascii="Times New Roman" w:eastAsia="Times New Roman" w:hAnsi="Times New Roman" w:cs="Times New Roman"/>
          <w:sz w:val="24"/>
          <w:szCs w:val="24"/>
        </w:rPr>
      </w:pPr>
      <w:r w:rsidRPr="009E5D07">
        <w:rPr>
          <w:rFonts w:ascii="Times New Roman" w:eastAsia="Times New Roman" w:hAnsi="Times New Roman" w:cs="Times New Roman"/>
          <w:b/>
          <w:bCs/>
          <w:sz w:val="24"/>
          <w:szCs w:val="24"/>
        </w:rPr>
        <w:t>A.</w:t>
      </w:r>
      <w:r w:rsidRPr="009E5D07">
        <w:rPr>
          <w:rFonts w:ascii="Times New Roman" w:eastAsia="Times New Roman" w:hAnsi="Times New Roman" w:cs="Times New Roman"/>
          <w:sz w:val="24"/>
          <w:szCs w:val="24"/>
        </w:rPr>
        <w:t xml:space="preserve"> UNCP IRB Website:</w:t>
      </w:r>
      <w:r w:rsidRPr="009E5D07">
        <w:rPr>
          <w:rFonts w:ascii="Times New Roman" w:eastAsia="Times New Roman" w:hAnsi="Times New Roman" w:cs="Times New Roman"/>
          <w:color w:val="0000FF"/>
          <w:sz w:val="24"/>
          <w:szCs w:val="24"/>
        </w:rPr>
        <w:t xml:space="preserve"> </w:t>
      </w:r>
      <w:hyperlink r:id="rId8">
        <w:r w:rsidR="056A2C11" w:rsidRPr="009E5D07">
          <w:rPr>
            <w:rStyle w:val="Hyperlink"/>
            <w:rFonts w:ascii="Times New Roman" w:eastAsia="Times New Roman" w:hAnsi="Times New Roman" w:cs="Times New Roman"/>
            <w:sz w:val="24"/>
            <w:szCs w:val="24"/>
          </w:rPr>
          <w:t>https://www.uncp.edu/academics/research/institutional-review-board</w:t>
        </w:r>
      </w:hyperlink>
    </w:p>
    <w:p w14:paraId="654E4F7E" w14:textId="021AEBDA" w:rsidR="056A2C11" w:rsidRPr="009E5D07" w:rsidRDefault="056A2C11" w:rsidP="00522817">
      <w:pPr>
        <w:spacing w:line="240" w:lineRule="auto"/>
        <w:ind w:left="720"/>
        <w:rPr>
          <w:rFonts w:ascii="Times New Roman" w:hAnsi="Times New Roman" w:cs="Times New Roman"/>
          <w:sz w:val="24"/>
          <w:szCs w:val="24"/>
        </w:rPr>
      </w:pPr>
      <w:r w:rsidRPr="009E5D07">
        <w:rPr>
          <w:rFonts w:ascii="Times New Roman" w:hAnsi="Times New Roman" w:cs="Times New Roman"/>
          <w:sz w:val="24"/>
          <w:szCs w:val="24"/>
        </w:rPr>
        <w:t>A1. All the IRB materials can be found on this website under the link, Forms and</w:t>
      </w:r>
      <w:r w:rsidR="00053FAD" w:rsidRPr="009E5D07">
        <w:rPr>
          <w:rFonts w:ascii="Times New Roman" w:hAnsi="Times New Roman" w:cs="Times New Roman"/>
          <w:sz w:val="24"/>
          <w:szCs w:val="24"/>
        </w:rPr>
        <w:t xml:space="preserve"> </w:t>
      </w:r>
      <w:r w:rsidRPr="009E5D07">
        <w:rPr>
          <w:rFonts w:ascii="Times New Roman" w:hAnsi="Times New Roman" w:cs="Times New Roman"/>
          <w:sz w:val="24"/>
          <w:szCs w:val="24"/>
        </w:rPr>
        <w:t xml:space="preserve">Guidelines.  This document can be found </w:t>
      </w:r>
      <w:r w:rsidR="00053FAD" w:rsidRPr="009E5D07">
        <w:rPr>
          <w:rFonts w:ascii="Times New Roman" w:hAnsi="Times New Roman" w:cs="Times New Roman"/>
          <w:sz w:val="24"/>
          <w:szCs w:val="24"/>
        </w:rPr>
        <w:t>at this location.</w:t>
      </w:r>
      <w:r w:rsidR="00053FAD" w:rsidRPr="009E5D07">
        <w:rPr>
          <w:rFonts w:ascii="Times New Roman" w:hAnsi="Times New Roman" w:cs="Times New Roman"/>
          <w:sz w:val="24"/>
          <w:szCs w:val="24"/>
        </w:rPr>
        <w:tab/>
      </w:r>
    </w:p>
    <w:p w14:paraId="39C46887" w14:textId="12D27A2E" w:rsidR="72A1141F" w:rsidRPr="009E5D07" w:rsidRDefault="72A1141F" w:rsidP="00522817">
      <w:pPr>
        <w:spacing w:line="240" w:lineRule="auto"/>
        <w:ind w:left="720" w:hanging="720"/>
        <w:jc w:val="both"/>
        <w:rPr>
          <w:rFonts w:ascii="Times New Roman" w:hAnsi="Times New Roman" w:cs="Times New Roman"/>
          <w:sz w:val="24"/>
          <w:szCs w:val="24"/>
        </w:rPr>
      </w:pPr>
      <w:r w:rsidRPr="009E5D07">
        <w:rPr>
          <w:rFonts w:ascii="Times New Roman" w:eastAsia="Times New Roman" w:hAnsi="Times New Roman" w:cs="Times New Roman"/>
          <w:b/>
          <w:bCs/>
          <w:sz w:val="24"/>
          <w:szCs w:val="24"/>
        </w:rPr>
        <w:t>B.</w:t>
      </w:r>
      <w:r w:rsidRPr="009E5D07">
        <w:rPr>
          <w:rFonts w:ascii="Times New Roman" w:eastAsia="Times New Roman" w:hAnsi="Times New Roman" w:cs="Times New Roman"/>
          <w:sz w:val="24"/>
          <w:szCs w:val="24"/>
        </w:rPr>
        <w:t xml:space="preserve"> U.S. Department of Health &amp; Human Services, Office of Human Research Protections, Guidance on Reporting Incidents to OHRP:</w:t>
      </w:r>
      <w:r w:rsidRPr="009E5D07">
        <w:rPr>
          <w:rFonts w:ascii="Times New Roman" w:eastAsia="Times New Roman" w:hAnsi="Times New Roman" w:cs="Times New Roman"/>
          <w:color w:val="0000FF"/>
          <w:sz w:val="24"/>
          <w:szCs w:val="24"/>
        </w:rPr>
        <w:t xml:space="preserve"> </w:t>
      </w:r>
      <w:hyperlink r:id="rId9">
        <w:r w:rsidRPr="009E5D07">
          <w:rPr>
            <w:rStyle w:val="Hyperlink"/>
            <w:rFonts w:ascii="Times New Roman" w:eastAsia="Times New Roman" w:hAnsi="Times New Roman" w:cs="Times New Roman"/>
            <w:sz w:val="24"/>
            <w:szCs w:val="24"/>
          </w:rPr>
          <w:t>https://www.hhs.gov/ohrp/compliance-and-reporting/guidance-on-reporting-</w:t>
        </w:r>
      </w:hyperlink>
      <w:r w:rsidRPr="009E5D07">
        <w:rPr>
          <w:rFonts w:ascii="Times New Roman" w:eastAsia="Times New Roman" w:hAnsi="Times New Roman" w:cs="Times New Roman"/>
          <w:color w:val="0000FF"/>
          <w:sz w:val="24"/>
          <w:szCs w:val="24"/>
        </w:rPr>
        <w:t xml:space="preserve"> </w:t>
      </w:r>
      <w:hyperlink r:id="rId10">
        <w:r w:rsidRPr="009E5D07">
          <w:rPr>
            <w:rStyle w:val="Hyperlink"/>
            <w:rFonts w:ascii="Times New Roman" w:eastAsia="Times New Roman" w:hAnsi="Times New Roman" w:cs="Times New Roman"/>
            <w:sz w:val="24"/>
            <w:szCs w:val="24"/>
          </w:rPr>
          <w:t>incident/index.html</w:t>
        </w:r>
      </w:hyperlink>
    </w:p>
    <w:p w14:paraId="41722870" w14:textId="28B1A915" w:rsidR="00053FAD" w:rsidRPr="009E5D07" w:rsidRDefault="72A1141F" w:rsidP="00522817">
      <w:pPr>
        <w:spacing w:line="240" w:lineRule="auto"/>
        <w:ind w:left="720" w:hanging="720"/>
        <w:rPr>
          <w:rFonts w:ascii="Times New Roman" w:eastAsia="Times New Roman" w:hAnsi="Times New Roman" w:cs="Times New Roman"/>
          <w:color w:val="0563C1" w:themeColor="hyperlink"/>
          <w:sz w:val="24"/>
          <w:szCs w:val="24"/>
          <w:u w:val="single"/>
        </w:rPr>
      </w:pPr>
      <w:r w:rsidRPr="009E5D07">
        <w:rPr>
          <w:rFonts w:ascii="Times New Roman" w:eastAsia="Times New Roman" w:hAnsi="Times New Roman" w:cs="Times New Roman"/>
          <w:b/>
          <w:bCs/>
          <w:sz w:val="24"/>
          <w:szCs w:val="24"/>
        </w:rPr>
        <w:t>C.</w:t>
      </w:r>
      <w:r w:rsidR="00053FAD" w:rsidRPr="009E5D07">
        <w:rPr>
          <w:rFonts w:ascii="Times New Roman" w:eastAsia="Times New Roman" w:hAnsi="Times New Roman" w:cs="Times New Roman"/>
          <w:sz w:val="24"/>
          <w:szCs w:val="24"/>
        </w:rPr>
        <w:t xml:space="preserve"> </w:t>
      </w:r>
      <w:r w:rsidRPr="009E5D07">
        <w:rPr>
          <w:rFonts w:ascii="Times New Roman" w:eastAsia="Times New Roman" w:hAnsi="Times New Roman" w:cs="Times New Roman"/>
          <w:sz w:val="24"/>
          <w:szCs w:val="24"/>
        </w:rPr>
        <w:t>45 CFR 46 (“Common Rule”):</w:t>
      </w:r>
      <w:hyperlink r:id="rId11" w:history="1">
        <w:r w:rsidR="00522817" w:rsidRPr="009E5D07">
          <w:rPr>
            <w:rStyle w:val="Hyperlink"/>
            <w:rFonts w:ascii="Times New Roman" w:eastAsia="Times New Roman" w:hAnsi="Times New Roman" w:cs="Times New Roman"/>
            <w:sz w:val="24"/>
            <w:szCs w:val="24"/>
          </w:rPr>
          <w:t>https://www.ecfr.gov/cgi-bin/text-</w:t>
        </w:r>
      </w:hyperlink>
      <w:r w:rsidRPr="009E5D07">
        <w:rPr>
          <w:rFonts w:ascii="Times New Roman" w:eastAsia="Times New Roman" w:hAnsi="Times New Roman" w:cs="Times New Roman"/>
          <w:color w:val="0000FF"/>
          <w:sz w:val="24"/>
          <w:szCs w:val="24"/>
        </w:rPr>
        <w:t xml:space="preserve"> </w:t>
      </w:r>
      <w:hyperlink r:id="rId12">
        <w:r w:rsidRPr="009E5D07">
          <w:rPr>
            <w:rStyle w:val="Hyperlink"/>
            <w:rFonts w:ascii="Times New Roman" w:eastAsia="Times New Roman" w:hAnsi="Times New Roman" w:cs="Times New Roman"/>
            <w:sz w:val="24"/>
            <w:szCs w:val="24"/>
          </w:rPr>
          <w:t>idx?SID=75addf8360492a28075e3a218631fcdc&amp;pitd=20180719&amp;node=pt45.1.4</w:t>
        </w:r>
      </w:hyperlink>
      <w:r w:rsidRPr="009E5D07">
        <w:rPr>
          <w:rFonts w:ascii="Times New Roman" w:eastAsia="Times New Roman" w:hAnsi="Times New Roman" w:cs="Times New Roman"/>
          <w:color w:val="0000FF"/>
          <w:sz w:val="24"/>
          <w:szCs w:val="24"/>
        </w:rPr>
        <w:t xml:space="preserve"> </w:t>
      </w:r>
      <w:hyperlink r:id="rId13">
        <w:r w:rsidRPr="009E5D07">
          <w:rPr>
            <w:rStyle w:val="Hyperlink"/>
            <w:rFonts w:ascii="Times New Roman" w:eastAsia="Times New Roman" w:hAnsi="Times New Roman" w:cs="Times New Roman"/>
            <w:sz w:val="24"/>
            <w:szCs w:val="24"/>
          </w:rPr>
          <w:t>6&amp;rgn=div5</w:t>
        </w:r>
      </w:hyperlink>
    </w:p>
    <w:p w14:paraId="185D3CB7" w14:textId="1F45156E" w:rsidR="72A1141F" w:rsidRPr="009E5D07" w:rsidRDefault="72A1141F" w:rsidP="00522817">
      <w:pPr>
        <w:spacing w:line="240" w:lineRule="auto"/>
        <w:ind w:left="720" w:hanging="720"/>
        <w:jc w:val="both"/>
        <w:rPr>
          <w:rStyle w:val="Hyperlink"/>
          <w:rFonts w:ascii="Times New Roman" w:eastAsia="Times New Roman" w:hAnsi="Times New Roman" w:cs="Times New Roman"/>
          <w:sz w:val="24"/>
          <w:szCs w:val="24"/>
        </w:rPr>
      </w:pPr>
      <w:r w:rsidRPr="009E5D07">
        <w:rPr>
          <w:rFonts w:ascii="Times New Roman" w:eastAsia="Times New Roman" w:hAnsi="Times New Roman" w:cs="Times New Roman"/>
          <w:b/>
          <w:bCs/>
          <w:sz w:val="24"/>
          <w:szCs w:val="24"/>
        </w:rPr>
        <w:t>D.</w:t>
      </w:r>
      <w:r w:rsidRPr="009E5D07">
        <w:rPr>
          <w:rFonts w:ascii="Times New Roman" w:eastAsia="Times New Roman" w:hAnsi="Times New Roman" w:cs="Times New Roman"/>
          <w:sz w:val="24"/>
          <w:szCs w:val="24"/>
        </w:rPr>
        <w:t xml:space="preserve"> Belmont Report:</w:t>
      </w:r>
      <w:r w:rsidRPr="009E5D07">
        <w:rPr>
          <w:rFonts w:ascii="Times New Roman" w:eastAsia="Times New Roman" w:hAnsi="Times New Roman" w:cs="Times New Roman"/>
          <w:color w:val="0000FF"/>
          <w:sz w:val="24"/>
          <w:szCs w:val="24"/>
        </w:rPr>
        <w:t xml:space="preserve"> </w:t>
      </w:r>
      <w:hyperlink r:id="rId14">
        <w:r w:rsidRPr="009E5D07">
          <w:rPr>
            <w:rStyle w:val="Hyperlink"/>
            <w:rFonts w:ascii="Times New Roman" w:eastAsia="Times New Roman" w:hAnsi="Times New Roman" w:cs="Times New Roman"/>
            <w:sz w:val="24"/>
            <w:szCs w:val="24"/>
          </w:rPr>
          <w:t>https://www.hhs.gov/ohrp/regulations-and-policy/belmont-</w:t>
        </w:r>
      </w:hyperlink>
      <w:r w:rsidRPr="009E5D07">
        <w:rPr>
          <w:rFonts w:ascii="Times New Roman" w:eastAsia="Times New Roman" w:hAnsi="Times New Roman" w:cs="Times New Roman"/>
          <w:color w:val="0000FF"/>
          <w:sz w:val="24"/>
          <w:szCs w:val="24"/>
        </w:rPr>
        <w:t xml:space="preserve"> </w:t>
      </w:r>
      <w:hyperlink r:id="rId15">
        <w:r w:rsidRPr="009E5D07">
          <w:rPr>
            <w:rStyle w:val="Hyperlink"/>
            <w:rFonts w:ascii="Times New Roman" w:eastAsia="Times New Roman" w:hAnsi="Times New Roman" w:cs="Times New Roman"/>
            <w:sz w:val="24"/>
            <w:szCs w:val="24"/>
          </w:rPr>
          <w:t>report/index.html</w:t>
        </w:r>
      </w:hyperlink>
    </w:p>
    <w:p w14:paraId="2E55360F" w14:textId="77777777" w:rsidR="00B337B2" w:rsidRDefault="00B337B2" w:rsidP="00B337B2">
      <w:pPr>
        <w:pStyle w:val="NormalWeb"/>
        <w:shd w:val="clear" w:color="auto" w:fill="FFFFFF"/>
        <w:spacing w:before="0" w:beforeAutospacing="0" w:after="0" w:afterAutospacing="0"/>
        <w:ind w:left="-360" w:firstLine="360"/>
        <w:rPr>
          <w:rFonts w:ascii="Arial" w:hAnsi="Arial" w:cs="Arial"/>
          <w:color w:val="4B4B4B"/>
          <w:sz w:val="26"/>
          <w:szCs w:val="26"/>
        </w:rPr>
      </w:pPr>
      <w:r w:rsidRPr="009E5D07">
        <w:rPr>
          <w:b/>
          <w:bCs/>
        </w:rPr>
        <w:t>E.</w:t>
      </w:r>
      <w:r w:rsidRPr="009E5D07">
        <w:t xml:space="preserve"> </w:t>
      </w:r>
      <w:r w:rsidRPr="009E5D07">
        <w:rPr>
          <w:color w:val="4B4B4B"/>
        </w:rPr>
        <w:t>Protection of Human Subjects, 45 CFR § 46 (2017).</w:t>
      </w:r>
    </w:p>
    <w:p w14:paraId="3853D53C" w14:textId="49295F00" w:rsidR="00B337B2" w:rsidRPr="00053FAD" w:rsidRDefault="00B337B2" w:rsidP="00522817">
      <w:pPr>
        <w:spacing w:line="240" w:lineRule="auto"/>
        <w:ind w:left="720" w:hanging="720"/>
        <w:jc w:val="both"/>
        <w:rPr>
          <w:rFonts w:ascii="Times New Roman" w:hAnsi="Times New Roman" w:cs="Times New Roman"/>
          <w:sz w:val="24"/>
          <w:szCs w:val="24"/>
        </w:rPr>
      </w:pPr>
    </w:p>
    <w:p w14:paraId="205C3BC4" w14:textId="7BE35610" w:rsidR="5725D364" w:rsidRPr="00522817" w:rsidRDefault="5725D364" w:rsidP="00522817">
      <w:pPr>
        <w:spacing w:line="240" w:lineRule="auto"/>
        <w:jc w:val="both"/>
        <w:rPr>
          <w:rFonts w:ascii="Times New Roman" w:hAnsi="Times New Roman" w:cs="Times New Roman"/>
          <w:sz w:val="24"/>
          <w:szCs w:val="24"/>
        </w:rPr>
      </w:pPr>
    </w:p>
    <w:sectPr w:rsidR="5725D364" w:rsidRPr="00522817">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CA03" w14:textId="77777777" w:rsidR="002C566F" w:rsidRDefault="002C566F" w:rsidP="00522817">
      <w:pPr>
        <w:spacing w:after="0" w:line="240" w:lineRule="auto"/>
      </w:pPr>
      <w:r>
        <w:separator/>
      </w:r>
    </w:p>
  </w:endnote>
  <w:endnote w:type="continuationSeparator" w:id="0">
    <w:p w14:paraId="47765802" w14:textId="77777777" w:rsidR="002C566F" w:rsidRDefault="002C566F" w:rsidP="0052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4949908"/>
      <w:docPartObj>
        <w:docPartGallery w:val="Page Numbers (Bottom of Page)"/>
        <w:docPartUnique/>
      </w:docPartObj>
    </w:sdtPr>
    <w:sdtEndPr>
      <w:rPr>
        <w:rStyle w:val="PageNumber"/>
      </w:rPr>
    </w:sdtEndPr>
    <w:sdtContent>
      <w:p w14:paraId="0C97C591" w14:textId="7B55A5ED" w:rsidR="00522817" w:rsidRDefault="00522817" w:rsidP="00337A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1E4DB5" w14:textId="77777777" w:rsidR="00522817" w:rsidRDefault="00522817" w:rsidP="005228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5941624"/>
      <w:docPartObj>
        <w:docPartGallery w:val="Page Numbers (Bottom of Page)"/>
        <w:docPartUnique/>
      </w:docPartObj>
    </w:sdtPr>
    <w:sdtEndPr>
      <w:rPr>
        <w:rStyle w:val="PageNumber"/>
      </w:rPr>
    </w:sdtEndPr>
    <w:sdtContent>
      <w:p w14:paraId="1F84B09C" w14:textId="76DE082D" w:rsidR="00522817" w:rsidRDefault="00522817" w:rsidP="00337A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FD2517" w14:textId="77777777" w:rsidR="00522817" w:rsidRDefault="00522817" w:rsidP="005228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6A86" w14:textId="77777777" w:rsidR="002C566F" w:rsidRDefault="002C566F" w:rsidP="00522817">
      <w:pPr>
        <w:spacing w:after="0" w:line="240" w:lineRule="auto"/>
      </w:pPr>
      <w:r>
        <w:separator/>
      </w:r>
    </w:p>
  </w:footnote>
  <w:footnote w:type="continuationSeparator" w:id="0">
    <w:p w14:paraId="3827E1F7" w14:textId="77777777" w:rsidR="002C566F" w:rsidRDefault="002C566F" w:rsidP="0052281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MIQ8mzn3" int2:invalidationBookmarkName="" int2:hashCode="Xsnww9aQQK/jqv" int2:id="RSNa25YR">
      <int2:state int2:value="Rejected" int2:type="LegacyProofing"/>
    </int2:bookmark>
    <int2:bookmark int2:bookmarkName="_Int_gJYcvXW2" int2:invalidationBookmarkName="" int2:hashCode="Xsnww9aQQK/jqv" int2:id="iV9glyk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951"/>
    <w:multiLevelType w:val="hybridMultilevel"/>
    <w:tmpl w:val="7E4EF35A"/>
    <w:lvl w:ilvl="0" w:tplc="0409001B">
      <w:start w:val="1"/>
      <w:numFmt w:val="lowerRoman"/>
      <w:lvlText w:val="%1."/>
      <w:lvlJc w:val="right"/>
      <w:pPr>
        <w:ind w:left="1440" w:hanging="360"/>
      </w:pPr>
      <w:rPr>
        <w:rFonts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 w15:restartNumberingAfterBreak="0">
    <w:nsid w:val="06843437"/>
    <w:multiLevelType w:val="hybridMultilevel"/>
    <w:tmpl w:val="0F44FACA"/>
    <w:lvl w:ilvl="0" w:tplc="3D6CE3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D561B"/>
    <w:multiLevelType w:val="hybridMultilevel"/>
    <w:tmpl w:val="21C6EB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A66FA"/>
    <w:multiLevelType w:val="hybridMultilevel"/>
    <w:tmpl w:val="4646670A"/>
    <w:lvl w:ilvl="0" w:tplc="A306846A">
      <w:numFmt w:val="bullet"/>
      <w:lvlText w:val="-"/>
      <w:lvlJc w:val="left"/>
      <w:pPr>
        <w:ind w:left="720" w:hanging="360"/>
      </w:pPr>
      <w:rPr>
        <w:rFonts w:ascii="Courier New" w:eastAsia="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07CB7"/>
    <w:multiLevelType w:val="hybridMultilevel"/>
    <w:tmpl w:val="B1CC794A"/>
    <w:lvl w:ilvl="0" w:tplc="7C762E24">
      <w:start w:val="1"/>
      <w:numFmt w:val="bullet"/>
      <w:lvlText w:val=""/>
      <w:lvlJc w:val="left"/>
      <w:pPr>
        <w:ind w:left="720" w:hanging="360"/>
      </w:pPr>
      <w:rPr>
        <w:rFonts w:ascii="Symbol" w:hAnsi="Symbol" w:hint="default"/>
      </w:rPr>
    </w:lvl>
    <w:lvl w:ilvl="1" w:tplc="672EC510">
      <w:start w:val="1"/>
      <w:numFmt w:val="bullet"/>
      <w:lvlText w:val="o"/>
      <w:lvlJc w:val="left"/>
      <w:pPr>
        <w:ind w:left="1440" w:hanging="360"/>
      </w:pPr>
      <w:rPr>
        <w:rFonts w:ascii="Courier New" w:hAnsi="Courier New" w:hint="default"/>
      </w:rPr>
    </w:lvl>
    <w:lvl w:ilvl="2" w:tplc="AC6C34AE">
      <w:start w:val="1"/>
      <w:numFmt w:val="bullet"/>
      <w:lvlText w:val=""/>
      <w:lvlJc w:val="left"/>
      <w:pPr>
        <w:ind w:left="2160" w:hanging="360"/>
      </w:pPr>
      <w:rPr>
        <w:rFonts w:ascii="Wingdings" w:hAnsi="Wingdings" w:hint="default"/>
      </w:rPr>
    </w:lvl>
    <w:lvl w:ilvl="3" w:tplc="4B7E91A0">
      <w:start w:val="1"/>
      <w:numFmt w:val="bullet"/>
      <w:lvlText w:val=""/>
      <w:lvlJc w:val="left"/>
      <w:pPr>
        <w:ind w:left="2880" w:hanging="360"/>
      </w:pPr>
      <w:rPr>
        <w:rFonts w:ascii="Symbol" w:hAnsi="Symbol" w:hint="default"/>
      </w:rPr>
    </w:lvl>
    <w:lvl w:ilvl="4" w:tplc="352AF434">
      <w:start w:val="1"/>
      <w:numFmt w:val="bullet"/>
      <w:lvlText w:val="o"/>
      <w:lvlJc w:val="left"/>
      <w:pPr>
        <w:ind w:left="3600" w:hanging="360"/>
      </w:pPr>
      <w:rPr>
        <w:rFonts w:ascii="Courier New" w:hAnsi="Courier New" w:hint="default"/>
      </w:rPr>
    </w:lvl>
    <w:lvl w:ilvl="5" w:tplc="3018829A">
      <w:start w:val="1"/>
      <w:numFmt w:val="bullet"/>
      <w:lvlText w:val=""/>
      <w:lvlJc w:val="left"/>
      <w:pPr>
        <w:ind w:left="4320" w:hanging="360"/>
      </w:pPr>
      <w:rPr>
        <w:rFonts w:ascii="Wingdings" w:hAnsi="Wingdings" w:hint="default"/>
      </w:rPr>
    </w:lvl>
    <w:lvl w:ilvl="6" w:tplc="B3565EC4">
      <w:start w:val="1"/>
      <w:numFmt w:val="bullet"/>
      <w:lvlText w:val=""/>
      <w:lvlJc w:val="left"/>
      <w:pPr>
        <w:ind w:left="5040" w:hanging="360"/>
      </w:pPr>
      <w:rPr>
        <w:rFonts w:ascii="Symbol" w:hAnsi="Symbol" w:hint="default"/>
      </w:rPr>
    </w:lvl>
    <w:lvl w:ilvl="7" w:tplc="D8C20D1E">
      <w:start w:val="1"/>
      <w:numFmt w:val="bullet"/>
      <w:lvlText w:val="o"/>
      <w:lvlJc w:val="left"/>
      <w:pPr>
        <w:ind w:left="5760" w:hanging="360"/>
      </w:pPr>
      <w:rPr>
        <w:rFonts w:ascii="Courier New" w:hAnsi="Courier New" w:hint="default"/>
      </w:rPr>
    </w:lvl>
    <w:lvl w:ilvl="8" w:tplc="823A742C">
      <w:start w:val="1"/>
      <w:numFmt w:val="bullet"/>
      <w:lvlText w:val=""/>
      <w:lvlJc w:val="left"/>
      <w:pPr>
        <w:ind w:left="6480" w:hanging="360"/>
      </w:pPr>
      <w:rPr>
        <w:rFonts w:ascii="Wingdings" w:hAnsi="Wingdings" w:hint="default"/>
      </w:rPr>
    </w:lvl>
  </w:abstractNum>
  <w:abstractNum w:abstractNumId="5" w15:restartNumberingAfterBreak="0">
    <w:nsid w:val="1A3E7D4A"/>
    <w:multiLevelType w:val="hybridMultilevel"/>
    <w:tmpl w:val="AAFAD7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AA7532"/>
    <w:multiLevelType w:val="multilevel"/>
    <w:tmpl w:val="7E2C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EB7187"/>
    <w:multiLevelType w:val="hybridMultilevel"/>
    <w:tmpl w:val="380447F8"/>
    <w:lvl w:ilvl="0" w:tplc="5BB20DF0">
      <w:start w:val="1"/>
      <w:numFmt w:val="bullet"/>
      <w:lvlText w:val=""/>
      <w:lvlJc w:val="left"/>
      <w:pPr>
        <w:ind w:left="720" w:hanging="360"/>
      </w:pPr>
      <w:rPr>
        <w:rFonts w:ascii="Symbol" w:hAnsi="Symbol" w:hint="default"/>
      </w:rPr>
    </w:lvl>
    <w:lvl w:ilvl="1" w:tplc="1640E5CC">
      <w:start w:val="1"/>
      <w:numFmt w:val="bullet"/>
      <w:lvlText w:val="o"/>
      <w:lvlJc w:val="left"/>
      <w:pPr>
        <w:ind w:left="1440" w:hanging="360"/>
      </w:pPr>
      <w:rPr>
        <w:rFonts w:ascii="Courier New" w:hAnsi="Courier New" w:hint="default"/>
      </w:rPr>
    </w:lvl>
    <w:lvl w:ilvl="2" w:tplc="6CDE04C4">
      <w:start w:val="1"/>
      <w:numFmt w:val="bullet"/>
      <w:lvlText w:val=""/>
      <w:lvlJc w:val="left"/>
      <w:pPr>
        <w:ind w:left="2160" w:hanging="360"/>
      </w:pPr>
      <w:rPr>
        <w:rFonts w:ascii="Wingdings" w:hAnsi="Wingdings" w:hint="default"/>
      </w:rPr>
    </w:lvl>
    <w:lvl w:ilvl="3" w:tplc="2410C0EA">
      <w:start w:val="1"/>
      <w:numFmt w:val="bullet"/>
      <w:lvlText w:val=""/>
      <w:lvlJc w:val="left"/>
      <w:pPr>
        <w:ind w:left="2880" w:hanging="360"/>
      </w:pPr>
      <w:rPr>
        <w:rFonts w:ascii="Symbol" w:hAnsi="Symbol" w:hint="default"/>
      </w:rPr>
    </w:lvl>
    <w:lvl w:ilvl="4" w:tplc="6C7A2654">
      <w:start w:val="1"/>
      <w:numFmt w:val="bullet"/>
      <w:lvlText w:val="o"/>
      <w:lvlJc w:val="left"/>
      <w:pPr>
        <w:ind w:left="3600" w:hanging="360"/>
      </w:pPr>
      <w:rPr>
        <w:rFonts w:ascii="Courier New" w:hAnsi="Courier New" w:hint="default"/>
      </w:rPr>
    </w:lvl>
    <w:lvl w:ilvl="5" w:tplc="B9020CBE">
      <w:start w:val="1"/>
      <w:numFmt w:val="bullet"/>
      <w:lvlText w:val=""/>
      <w:lvlJc w:val="left"/>
      <w:pPr>
        <w:ind w:left="4320" w:hanging="360"/>
      </w:pPr>
      <w:rPr>
        <w:rFonts w:ascii="Wingdings" w:hAnsi="Wingdings" w:hint="default"/>
      </w:rPr>
    </w:lvl>
    <w:lvl w:ilvl="6" w:tplc="2482F156">
      <w:start w:val="1"/>
      <w:numFmt w:val="bullet"/>
      <w:lvlText w:val=""/>
      <w:lvlJc w:val="left"/>
      <w:pPr>
        <w:ind w:left="5040" w:hanging="360"/>
      </w:pPr>
      <w:rPr>
        <w:rFonts w:ascii="Symbol" w:hAnsi="Symbol" w:hint="default"/>
      </w:rPr>
    </w:lvl>
    <w:lvl w:ilvl="7" w:tplc="0EFC5108">
      <w:start w:val="1"/>
      <w:numFmt w:val="bullet"/>
      <w:lvlText w:val="o"/>
      <w:lvlJc w:val="left"/>
      <w:pPr>
        <w:ind w:left="5760" w:hanging="360"/>
      </w:pPr>
      <w:rPr>
        <w:rFonts w:ascii="Courier New" w:hAnsi="Courier New" w:hint="default"/>
      </w:rPr>
    </w:lvl>
    <w:lvl w:ilvl="8" w:tplc="F5882282">
      <w:start w:val="1"/>
      <w:numFmt w:val="bullet"/>
      <w:lvlText w:val=""/>
      <w:lvlJc w:val="left"/>
      <w:pPr>
        <w:ind w:left="6480" w:hanging="360"/>
      </w:pPr>
      <w:rPr>
        <w:rFonts w:ascii="Wingdings" w:hAnsi="Wingdings" w:hint="default"/>
      </w:rPr>
    </w:lvl>
  </w:abstractNum>
  <w:abstractNum w:abstractNumId="8" w15:restartNumberingAfterBreak="0">
    <w:nsid w:val="26C16884"/>
    <w:multiLevelType w:val="hybridMultilevel"/>
    <w:tmpl w:val="CEB20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51BDA"/>
    <w:multiLevelType w:val="hybridMultilevel"/>
    <w:tmpl w:val="7138D716"/>
    <w:lvl w:ilvl="0" w:tplc="2420673A">
      <w:numFmt w:val="bullet"/>
      <w:lvlText w:val=""/>
      <w:lvlJc w:val="left"/>
      <w:pPr>
        <w:ind w:left="1800" w:hanging="360"/>
      </w:pPr>
      <w:rPr>
        <w:rFonts w:ascii="Symbol" w:eastAsia="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0D3E80"/>
    <w:multiLevelType w:val="hybridMultilevel"/>
    <w:tmpl w:val="C7C8F8D4"/>
    <w:lvl w:ilvl="0" w:tplc="A3C2E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B86EDC"/>
    <w:multiLevelType w:val="hybridMultilevel"/>
    <w:tmpl w:val="5E08B83A"/>
    <w:lvl w:ilvl="0" w:tplc="1C9275CE">
      <w:start w:val="1"/>
      <w:numFmt w:val="bullet"/>
      <w:lvlText w:val=""/>
      <w:lvlJc w:val="left"/>
      <w:pPr>
        <w:ind w:left="720" w:hanging="360"/>
      </w:pPr>
      <w:rPr>
        <w:rFonts w:ascii="Symbol" w:hAnsi="Symbol" w:hint="default"/>
      </w:rPr>
    </w:lvl>
    <w:lvl w:ilvl="1" w:tplc="FB825344">
      <w:start w:val="1"/>
      <w:numFmt w:val="bullet"/>
      <w:lvlText w:val=""/>
      <w:lvlJc w:val="left"/>
      <w:pPr>
        <w:ind w:left="1440" w:hanging="360"/>
      </w:pPr>
      <w:rPr>
        <w:rFonts w:ascii="Symbol" w:hAnsi="Symbol" w:hint="default"/>
      </w:rPr>
    </w:lvl>
    <w:lvl w:ilvl="2" w:tplc="ECB468F0">
      <w:start w:val="1"/>
      <w:numFmt w:val="bullet"/>
      <w:lvlText w:val=""/>
      <w:lvlJc w:val="left"/>
      <w:pPr>
        <w:ind w:left="2160" w:hanging="360"/>
      </w:pPr>
      <w:rPr>
        <w:rFonts w:ascii="Wingdings" w:hAnsi="Wingdings" w:hint="default"/>
      </w:rPr>
    </w:lvl>
    <w:lvl w:ilvl="3" w:tplc="254C25B0">
      <w:start w:val="1"/>
      <w:numFmt w:val="bullet"/>
      <w:lvlText w:val=""/>
      <w:lvlJc w:val="left"/>
      <w:pPr>
        <w:ind w:left="2880" w:hanging="360"/>
      </w:pPr>
      <w:rPr>
        <w:rFonts w:ascii="Symbol" w:hAnsi="Symbol" w:hint="default"/>
      </w:rPr>
    </w:lvl>
    <w:lvl w:ilvl="4" w:tplc="41B41D86">
      <w:start w:val="1"/>
      <w:numFmt w:val="bullet"/>
      <w:lvlText w:val="o"/>
      <w:lvlJc w:val="left"/>
      <w:pPr>
        <w:ind w:left="3600" w:hanging="360"/>
      </w:pPr>
      <w:rPr>
        <w:rFonts w:ascii="Courier New" w:hAnsi="Courier New" w:hint="default"/>
      </w:rPr>
    </w:lvl>
    <w:lvl w:ilvl="5" w:tplc="23A826FE">
      <w:start w:val="1"/>
      <w:numFmt w:val="bullet"/>
      <w:lvlText w:val=""/>
      <w:lvlJc w:val="left"/>
      <w:pPr>
        <w:ind w:left="4320" w:hanging="360"/>
      </w:pPr>
      <w:rPr>
        <w:rFonts w:ascii="Wingdings" w:hAnsi="Wingdings" w:hint="default"/>
      </w:rPr>
    </w:lvl>
    <w:lvl w:ilvl="6" w:tplc="275C4342">
      <w:start w:val="1"/>
      <w:numFmt w:val="bullet"/>
      <w:lvlText w:val=""/>
      <w:lvlJc w:val="left"/>
      <w:pPr>
        <w:ind w:left="5040" w:hanging="360"/>
      </w:pPr>
      <w:rPr>
        <w:rFonts w:ascii="Symbol" w:hAnsi="Symbol" w:hint="default"/>
      </w:rPr>
    </w:lvl>
    <w:lvl w:ilvl="7" w:tplc="C85CF604">
      <w:start w:val="1"/>
      <w:numFmt w:val="bullet"/>
      <w:lvlText w:val="o"/>
      <w:lvlJc w:val="left"/>
      <w:pPr>
        <w:ind w:left="5760" w:hanging="360"/>
      </w:pPr>
      <w:rPr>
        <w:rFonts w:ascii="Courier New" w:hAnsi="Courier New" w:hint="default"/>
      </w:rPr>
    </w:lvl>
    <w:lvl w:ilvl="8" w:tplc="7C5EC2E0">
      <w:start w:val="1"/>
      <w:numFmt w:val="bullet"/>
      <w:lvlText w:val=""/>
      <w:lvlJc w:val="left"/>
      <w:pPr>
        <w:ind w:left="6480" w:hanging="360"/>
      </w:pPr>
      <w:rPr>
        <w:rFonts w:ascii="Wingdings" w:hAnsi="Wingdings" w:hint="default"/>
      </w:rPr>
    </w:lvl>
  </w:abstractNum>
  <w:abstractNum w:abstractNumId="12" w15:restartNumberingAfterBreak="0">
    <w:nsid w:val="4A26502D"/>
    <w:multiLevelType w:val="hybridMultilevel"/>
    <w:tmpl w:val="18DAC33E"/>
    <w:lvl w:ilvl="0" w:tplc="CE16AAE0">
      <w:start w:val="1"/>
      <w:numFmt w:val="bullet"/>
      <w:lvlText w:val=""/>
      <w:lvlJc w:val="left"/>
      <w:pPr>
        <w:ind w:left="1440" w:hanging="360"/>
      </w:pPr>
      <w:rPr>
        <w:rFonts w:ascii="Symbol" w:hAnsi="Symbol" w:hint="default"/>
      </w:rPr>
    </w:lvl>
    <w:lvl w:ilvl="1" w:tplc="DE842E68">
      <w:start w:val="1"/>
      <w:numFmt w:val="bullet"/>
      <w:lvlText w:val="o"/>
      <w:lvlJc w:val="left"/>
      <w:pPr>
        <w:ind w:left="2160" w:hanging="360"/>
      </w:pPr>
      <w:rPr>
        <w:rFonts w:ascii="Courier New" w:hAnsi="Courier New" w:hint="default"/>
      </w:rPr>
    </w:lvl>
    <w:lvl w:ilvl="2" w:tplc="A1D6FDDC">
      <w:start w:val="1"/>
      <w:numFmt w:val="bullet"/>
      <w:lvlText w:val=""/>
      <w:lvlJc w:val="left"/>
      <w:pPr>
        <w:ind w:left="2880" w:hanging="360"/>
      </w:pPr>
      <w:rPr>
        <w:rFonts w:ascii="Wingdings" w:hAnsi="Wingdings" w:hint="default"/>
      </w:rPr>
    </w:lvl>
    <w:lvl w:ilvl="3" w:tplc="647446EE">
      <w:start w:val="1"/>
      <w:numFmt w:val="bullet"/>
      <w:lvlText w:val=""/>
      <w:lvlJc w:val="left"/>
      <w:pPr>
        <w:ind w:left="3600" w:hanging="360"/>
      </w:pPr>
      <w:rPr>
        <w:rFonts w:ascii="Symbol" w:hAnsi="Symbol" w:hint="default"/>
      </w:rPr>
    </w:lvl>
    <w:lvl w:ilvl="4" w:tplc="9A02B31E">
      <w:start w:val="1"/>
      <w:numFmt w:val="bullet"/>
      <w:lvlText w:val="o"/>
      <w:lvlJc w:val="left"/>
      <w:pPr>
        <w:ind w:left="4320" w:hanging="360"/>
      </w:pPr>
      <w:rPr>
        <w:rFonts w:ascii="Courier New" w:hAnsi="Courier New" w:hint="default"/>
      </w:rPr>
    </w:lvl>
    <w:lvl w:ilvl="5" w:tplc="1436A642">
      <w:start w:val="1"/>
      <w:numFmt w:val="bullet"/>
      <w:lvlText w:val=""/>
      <w:lvlJc w:val="left"/>
      <w:pPr>
        <w:ind w:left="5040" w:hanging="360"/>
      </w:pPr>
      <w:rPr>
        <w:rFonts w:ascii="Wingdings" w:hAnsi="Wingdings" w:hint="default"/>
      </w:rPr>
    </w:lvl>
    <w:lvl w:ilvl="6" w:tplc="DFF41856">
      <w:start w:val="1"/>
      <w:numFmt w:val="bullet"/>
      <w:lvlText w:val=""/>
      <w:lvlJc w:val="left"/>
      <w:pPr>
        <w:ind w:left="5760" w:hanging="360"/>
      </w:pPr>
      <w:rPr>
        <w:rFonts w:ascii="Symbol" w:hAnsi="Symbol" w:hint="default"/>
      </w:rPr>
    </w:lvl>
    <w:lvl w:ilvl="7" w:tplc="FB5A60C6">
      <w:start w:val="1"/>
      <w:numFmt w:val="bullet"/>
      <w:lvlText w:val="o"/>
      <w:lvlJc w:val="left"/>
      <w:pPr>
        <w:ind w:left="6480" w:hanging="360"/>
      </w:pPr>
      <w:rPr>
        <w:rFonts w:ascii="Courier New" w:hAnsi="Courier New" w:hint="default"/>
      </w:rPr>
    </w:lvl>
    <w:lvl w:ilvl="8" w:tplc="14DA60A2">
      <w:start w:val="1"/>
      <w:numFmt w:val="bullet"/>
      <w:lvlText w:val=""/>
      <w:lvlJc w:val="left"/>
      <w:pPr>
        <w:ind w:left="7200" w:hanging="360"/>
      </w:pPr>
      <w:rPr>
        <w:rFonts w:ascii="Wingdings" w:hAnsi="Wingdings" w:hint="default"/>
      </w:rPr>
    </w:lvl>
  </w:abstractNum>
  <w:abstractNum w:abstractNumId="13" w15:restartNumberingAfterBreak="0">
    <w:nsid w:val="4BD74D35"/>
    <w:multiLevelType w:val="hybridMultilevel"/>
    <w:tmpl w:val="669258C4"/>
    <w:lvl w:ilvl="0" w:tplc="AAE23B7E">
      <w:start w:val="1"/>
      <w:numFmt w:val="bullet"/>
      <w:lvlText w:val="o"/>
      <w:lvlJc w:val="left"/>
      <w:pPr>
        <w:ind w:left="1080" w:hanging="360"/>
      </w:pPr>
      <w:rPr>
        <w:rFonts w:ascii="Courier New" w:hAnsi="Courier New" w:hint="default"/>
      </w:rPr>
    </w:lvl>
    <w:lvl w:ilvl="1" w:tplc="DA907EE6">
      <w:start w:val="1"/>
      <w:numFmt w:val="bullet"/>
      <w:lvlText w:val="o"/>
      <w:lvlJc w:val="left"/>
      <w:pPr>
        <w:ind w:left="1800" w:hanging="360"/>
      </w:pPr>
      <w:rPr>
        <w:rFonts w:ascii="Courier New" w:hAnsi="Courier New" w:hint="default"/>
      </w:rPr>
    </w:lvl>
    <w:lvl w:ilvl="2" w:tplc="BBD0D07A">
      <w:start w:val="1"/>
      <w:numFmt w:val="bullet"/>
      <w:lvlText w:val=""/>
      <w:lvlJc w:val="left"/>
      <w:pPr>
        <w:ind w:left="2520" w:hanging="360"/>
      </w:pPr>
      <w:rPr>
        <w:rFonts w:ascii="Wingdings" w:hAnsi="Wingdings" w:hint="default"/>
      </w:rPr>
    </w:lvl>
    <w:lvl w:ilvl="3" w:tplc="6A163560">
      <w:start w:val="1"/>
      <w:numFmt w:val="bullet"/>
      <w:lvlText w:val=""/>
      <w:lvlJc w:val="left"/>
      <w:pPr>
        <w:ind w:left="3240" w:hanging="360"/>
      </w:pPr>
      <w:rPr>
        <w:rFonts w:ascii="Symbol" w:hAnsi="Symbol" w:hint="default"/>
      </w:rPr>
    </w:lvl>
    <w:lvl w:ilvl="4" w:tplc="1F1CD99E">
      <w:start w:val="1"/>
      <w:numFmt w:val="bullet"/>
      <w:lvlText w:val="o"/>
      <w:lvlJc w:val="left"/>
      <w:pPr>
        <w:ind w:left="3960" w:hanging="360"/>
      </w:pPr>
      <w:rPr>
        <w:rFonts w:ascii="Courier New" w:hAnsi="Courier New" w:hint="default"/>
      </w:rPr>
    </w:lvl>
    <w:lvl w:ilvl="5" w:tplc="2AA2D734">
      <w:start w:val="1"/>
      <w:numFmt w:val="bullet"/>
      <w:lvlText w:val=""/>
      <w:lvlJc w:val="left"/>
      <w:pPr>
        <w:ind w:left="4680" w:hanging="360"/>
      </w:pPr>
      <w:rPr>
        <w:rFonts w:ascii="Wingdings" w:hAnsi="Wingdings" w:hint="default"/>
      </w:rPr>
    </w:lvl>
    <w:lvl w:ilvl="6" w:tplc="68DC3A9E">
      <w:start w:val="1"/>
      <w:numFmt w:val="bullet"/>
      <w:lvlText w:val=""/>
      <w:lvlJc w:val="left"/>
      <w:pPr>
        <w:ind w:left="5400" w:hanging="360"/>
      </w:pPr>
      <w:rPr>
        <w:rFonts w:ascii="Symbol" w:hAnsi="Symbol" w:hint="default"/>
      </w:rPr>
    </w:lvl>
    <w:lvl w:ilvl="7" w:tplc="4BFEA63A">
      <w:start w:val="1"/>
      <w:numFmt w:val="bullet"/>
      <w:lvlText w:val="o"/>
      <w:lvlJc w:val="left"/>
      <w:pPr>
        <w:ind w:left="6120" w:hanging="360"/>
      </w:pPr>
      <w:rPr>
        <w:rFonts w:ascii="Courier New" w:hAnsi="Courier New" w:hint="default"/>
      </w:rPr>
    </w:lvl>
    <w:lvl w:ilvl="8" w:tplc="823EF96E">
      <w:start w:val="1"/>
      <w:numFmt w:val="bullet"/>
      <w:lvlText w:val=""/>
      <w:lvlJc w:val="left"/>
      <w:pPr>
        <w:ind w:left="6840" w:hanging="360"/>
      </w:pPr>
      <w:rPr>
        <w:rFonts w:ascii="Wingdings" w:hAnsi="Wingdings" w:hint="default"/>
      </w:rPr>
    </w:lvl>
  </w:abstractNum>
  <w:abstractNum w:abstractNumId="14" w15:restartNumberingAfterBreak="0">
    <w:nsid w:val="52194B51"/>
    <w:multiLevelType w:val="hybridMultilevel"/>
    <w:tmpl w:val="314EFADC"/>
    <w:lvl w:ilvl="0" w:tplc="90603AC8">
      <w:start w:val="1"/>
      <w:numFmt w:val="bullet"/>
      <w:lvlText w:val=""/>
      <w:lvlJc w:val="left"/>
      <w:pPr>
        <w:ind w:left="1800" w:hanging="360"/>
      </w:pPr>
      <w:rPr>
        <w:rFonts w:ascii="Symbol" w:hAnsi="Symbol" w:hint="default"/>
      </w:rPr>
    </w:lvl>
    <w:lvl w:ilvl="1" w:tplc="8844FD62">
      <w:start w:val="1"/>
      <w:numFmt w:val="bullet"/>
      <w:lvlText w:val="o"/>
      <w:lvlJc w:val="left"/>
      <w:pPr>
        <w:ind w:left="2520" w:hanging="360"/>
      </w:pPr>
      <w:rPr>
        <w:rFonts w:ascii="Courier New" w:hAnsi="Courier New" w:hint="default"/>
      </w:rPr>
    </w:lvl>
    <w:lvl w:ilvl="2" w:tplc="4DA88BEA">
      <w:start w:val="1"/>
      <w:numFmt w:val="bullet"/>
      <w:lvlText w:val=""/>
      <w:lvlJc w:val="left"/>
      <w:pPr>
        <w:ind w:left="3240" w:hanging="360"/>
      </w:pPr>
      <w:rPr>
        <w:rFonts w:ascii="Wingdings" w:hAnsi="Wingdings" w:hint="default"/>
      </w:rPr>
    </w:lvl>
    <w:lvl w:ilvl="3" w:tplc="11FC5DC6">
      <w:start w:val="1"/>
      <w:numFmt w:val="bullet"/>
      <w:lvlText w:val=""/>
      <w:lvlJc w:val="left"/>
      <w:pPr>
        <w:ind w:left="3960" w:hanging="360"/>
      </w:pPr>
      <w:rPr>
        <w:rFonts w:ascii="Symbol" w:hAnsi="Symbol" w:hint="default"/>
      </w:rPr>
    </w:lvl>
    <w:lvl w:ilvl="4" w:tplc="01D0FB16">
      <w:start w:val="1"/>
      <w:numFmt w:val="bullet"/>
      <w:lvlText w:val="o"/>
      <w:lvlJc w:val="left"/>
      <w:pPr>
        <w:ind w:left="4680" w:hanging="360"/>
      </w:pPr>
      <w:rPr>
        <w:rFonts w:ascii="Courier New" w:hAnsi="Courier New" w:hint="default"/>
      </w:rPr>
    </w:lvl>
    <w:lvl w:ilvl="5" w:tplc="12B8A4F2">
      <w:start w:val="1"/>
      <w:numFmt w:val="bullet"/>
      <w:lvlText w:val=""/>
      <w:lvlJc w:val="left"/>
      <w:pPr>
        <w:ind w:left="5400" w:hanging="360"/>
      </w:pPr>
      <w:rPr>
        <w:rFonts w:ascii="Wingdings" w:hAnsi="Wingdings" w:hint="default"/>
      </w:rPr>
    </w:lvl>
    <w:lvl w:ilvl="6" w:tplc="531E2998">
      <w:start w:val="1"/>
      <w:numFmt w:val="bullet"/>
      <w:lvlText w:val=""/>
      <w:lvlJc w:val="left"/>
      <w:pPr>
        <w:ind w:left="6120" w:hanging="360"/>
      </w:pPr>
      <w:rPr>
        <w:rFonts w:ascii="Symbol" w:hAnsi="Symbol" w:hint="default"/>
      </w:rPr>
    </w:lvl>
    <w:lvl w:ilvl="7" w:tplc="33EC6312">
      <w:start w:val="1"/>
      <w:numFmt w:val="bullet"/>
      <w:lvlText w:val="o"/>
      <w:lvlJc w:val="left"/>
      <w:pPr>
        <w:ind w:left="6840" w:hanging="360"/>
      </w:pPr>
      <w:rPr>
        <w:rFonts w:ascii="Courier New" w:hAnsi="Courier New" w:hint="default"/>
      </w:rPr>
    </w:lvl>
    <w:lvl w:ilvl="8" w:tplc="4692E49E">
      <w:start w:val="1"/>
      <w:numFmt w:val="bullet"/>
      <w:lvlText w:val=""/>
      <w:lvlJc w:val="left"/>
      <w:pPr>
        <w:ind w:left="7560" w:hanging="360"/>
      </w:pPr>
      <w:rPr>
        <w:rFonts w:ascii="Wingdings" w:hAnsi="Wingdings" w:hint="default"/>
      </w:rPr>
    </w:lvl>
  </w:abstractNum>
  <w:abstractNum w:abstractNumId="15" w15:restartNumberingAfterBreak="0">
    <w:nsid w:val="64555908"/>
    <w:multiLevelType w:val="hybridMultilevel"/>
    <w:tmpl w:val="9DF66C44"/>
    <w:lvl w:ilvl="0" w:tplc="FFFFFFFF">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747A4AC9"/>
    <w:multiLevelType w:val="hybridMultilevel"/>
    <w:tmpl w:val="AFE0979A"/>
    <w:lvl w:ilvl="0" w:tplc="2420673A">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4"/>
  </w:num>
  <w:num w:numId="6">
    <w:abstractNumId w:val="7"/>
  </w:num>
  <w:num w:numId="7">
    <w:abstractNumId w:val="1"/>
  </w:num>
  <w:num w:numId="8">
    <w:abstractNumId w:val="8"/>
  </w:num>
  <w:num w:numId="9">
    <w:abstractNumId w:val="3"/>
  </w:num>
  <w:num w:numId="10">
    <w:abstractNumId w:val="2"/>
  </w:num>
  <w:num w:numId="11">
    <w:abstractNumId w:val="16"/>
  </w:num>
  <w:num w:numId="12">
    <w:abstractNumId w:val="9"/>
  </w:num>
  <w:num w:numId="13">
    <w:abstractNumId w:val="5"/>
  </w:num>
  <w:num w:numId="14">
    <w:abstractNumId w:val="10"/>
  </w:num>
  <w:num w:numId="15">
    <w:abstractNumId w:val="15"/>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BC95ED"/>
    <w:rsid w:val="000073C2"/>
    <w:rsid w:val="00024277"/>
    <w:rsid w:val="00053FAD"/>
    <w:rsid w:val="000CE120"/>
    <w:rsid w:val="001D23EB"/>
    <w:rsid w:val="001F7A89"/>
    <w:rsid w:val="0024172A"/>
    <w:rsid w:val="00265568"/>
    <w:rsid w:val="002C566F"/>
    <w:rsid w:val="00322680"/>
    <w:rsid w:val="0034621F"/>
    <w:rsid w:val="00361225"/>
    <w:rsid w:val="003C4B11"/>
    <w:rsid w:val="003E2B99"/>
    <w:rsid w:val="00457229"/>
    <w:rsid w:val="0046CB68"/>
    <w:rsid w:val="00474FA1"/>
    <w:rsid w:val="00522817"/>
    <w:rsid w:val="00606FB6"/>
    <w:rsid w:val="0062391A"/>
    <w:rsid w:val="006D3A85"/>
    <w:rsid w:val="007044BE"/>
    <w:rsid w:val="0073647B"/>
    <w:rsid w:val="007A54B4"/>
    <w:rsid w:val="00800F63"/>
    <w:rsid w:val="00855A6B"/>
    <w:rsid w:val="008B1AF3"/>
    <w:rsid w:val="008C49FD"/>
    <w:rsid w:val="008D7F17"/>
    <w:rsid w:val="009612D1"/>
    <w:rsid w:val="009E5D07"/>
    <w:rsid w:val="00B1638C"/>
    <w:rsid w:val="00B337B2"/>
    <w:rsid w:val="00B97743"/>
    <w:rsid w:val="00C00A0E"/>
    <w:rsid w:val="00C51F1D"/>
    <w:rsid w:val="00C720DB"/>
    <w:rsid w:val="00DC0DF0"/>
    <w:rsid w:val="00DD4F85"/>
    <w:rsid w:val="00E94088"/>
    <w:rsid w:val="00EB6106"/>
    <w:rsid w:val="00EB7D0D"/>
    <w:rsid w:val="00F12F77"/>
    <w:rsid w:val="00F23B83"/>
    <w:rsid w:val="00F32837"/>
    <w:rsid w:val="00F50A56"/>
    <w:rsid w:val="015E5445"/>
    <w:rsid w:val="016967FE"/>
    <w:rsid w:val="02086E01"/>
    <w:rsid w:val="02BDF0F8"/>
    <w:rsid w:val="02F8325A"/>
    <w:rsid w:val="034F277C"/>
    <w:rsid w:val="03979487"/>
    <w:rsid w:val="03CE5BB0"/>
    <w:rsid w:val="03D5D778"/>
    <w:rsid w:val="04481BA3"/>
    <w:rsid w:val="056A2C11"/>
    <w:rsid w:val="059AF2D1"/>
    <w:rsid w:val="05DDCB1E"/>
    <w:rsid w:val="05EAB4C2"/>
    <w:rsid w:val="066F4668"/>
    <w:rsid w:val="06C897FF"/>
    <w:rsid w:val="07828134"/>
    <w:rsid w:val="078BDA18"/>
    <w:rsid w:val="086E56A1"/>
    <w:rsid w:val="092F83EF"/>
    <w:rsid w:val="0959438F"/>
    <w:rsid w:val="096C6360"/>
    <w:rsid w:val="09C65686"/>
    <w:rsid w:val="0A093E83"/>
    <w:rsid w:val="0AD46FCB"/>
    <w:rsid w:val="0B7892F2"/>
    <w:rsid w:val="0BA2A66C"/>
    <w:rsid w:val="0C077803"/>
    <w:rsid w:val="0C0A3455"/>
    <w:rsid w:val="0CB3AFF1"/>
    <w:rsid w:val="0D79AF36"/>
    <w:rsid w:val="0E6663AF"/>
    <w:rsid w:val="0FEB50B3"/>
    <w:rsid w:val="0FEBA8ED"/>
    <w:rsid w:val="10787057"/>
    <w:rsid w:val="11054C5A"/>
    <w:rsid w:val="11383A0C"/>
    <w:rsid w:val="11E19042"/>
    <w:rsid w:val="11F90F4D"/>
    <w:rsid w:val="1211E7F0"/>
    <w:rsid w:val="122B4CBB"/>
    <w:rsid w:val="129D412C"/>
    <w:rsid w:val="12DC0248"/>
    <w:rsid w:val="144C6054"/>
    <w:rsid w:val="1477D2A9"/>
    <w:rsid w:val="1488A2A1"/>
    <w:rsid w:val="14B2A51C"/>
    <w:rsid w:val="1528C289"/>
    <w:rsid w:val="16A4D98E"/>
    <w:rsid w:val="16F164CE"/>
    <w:rsid w:val="172283C8"/>
    <w:rsid w:val="1917FC0B"/>
    <w:rsid w:val="194B43CC"/>
    <w:rsid w:val="196C5CD1"/>
    <w:rsid w:val="19928B33"/>
    <w:rsid w:val="19BF7C2C"/>
    <w:rsid w:val="19F296A1"/>
    <w:rsid w:val="1AAC2EA0"/>
    <w:rsid w:val="1AE7142D"/>
    <w:rsid w:val="1B46FF8E"/>
    <w:rsid w:val="1B56ED3F"/>
    <w:rsid w:val="1B57F3F6"/>
    <w:rsid w:val="1B58FB36"/>
    <w:rsid w:val="1B8E6702"/>
    <w:rsid w:val="1D2A871D"/>
    <w:rsid w:val="1D3BC1F4"/>
    <w:rsid w:val="1D56C616"/>
    <w:rsid w:val="1D9ACB0E"/>
    <w:rsid w:val="1E06EE53"/>
    <w:rsid w:val="1E2897E3"/>
    <w:rsid w:val="1EDA8B15"/>
    <w:rsid w:val="1EFBA975"/>
    <w:rsid w:val="20D26BD0"/>
    <w:rsid w:val="2137A551"/>
    <w:rsid w:val="216725A9"/>
    <w:rsid w:val="22BF6A79"/>
    <w:rsid w:val="2340614F"/>
    <w:rsid w:val="2348D6C7"/>
    <w:rsid w:val="23A1666D"/>
    <w:rsid w:val="245DF72C"/>
    <w:rsid w:val="24887FAD"/>
    <w:rsid w:val="24BC95ED"/>
    <w:rsid w:val="25417BED"/>
    <w:rsid w:val="26D9072F"/>
    <w:rsid w:val="26DE6E9C"/>
    <w:rsid w:val="26E59CFA"/>
    <w:rsid w:val="27276CBB"/>
    <w:rsid w:val="27FBB492"/>
    <w:rsid w:val="27FF479A"/>
    <w:rsid w:val="2842D690"/>
    <w:rsid w:val="286D39C4"/>
    <w:rsid w:val="28869E8F"/>
    <w:rsid w:val="2896AB2E"/>
    <w:rsid w:val="2A552A89"/>
    <w:rsid w:val="2A82F159"/>
    <w:rsid w:val="2A945B6D"/>
    <w:rsid w:val="2B224F96"/>
    <w:rsid w:val="2C1F19F4"/>
    <w:rsid w:val="2CEFB90D"/>
    <w:rsid w:val="2DAFD69C"/>
    <w:rsid w:val="2E254A59"/>
    <w:rsid w:val="2E8B896E"/>
    <w:rsid w:val="2F1FF38D"/>
    <w:rsid w:val="2F308C54"/>
    <w:rsid w:val="30784BA9"/>
    <w:rsid w:val="30F207AF"/>
    <w:rsid w:val="31642116"/>
    <w:rsid w:val="317036D2"/>
    <w:rsid w:val="31C40AB8"/>
    <w:rsid w:val="31D34CCB"/>
    <w:rsid w:val="329038E5"/>
    <w:rsid w:val="33B78A37"/>
    <w:rsid w:val="33C95136"/>
    <w:rsid w:val="348A8701"/>
    <w:rsid w:val="34E34EF8"/>
    <w:rsid w:val="34FACAF2"/>
    <w:rsid w:val="3513F34F"/>
    <w:rsid w:val="359FCDD8"/>
    <w:rsid w:val="35EF949C"/>
    <w:rsid w:val="371A8534"/>
    <w:rsid w:val="373B9E39"/>
    <w:rsid w:val="37C227C3"/>
    <w:rsid w:val="38875BE5"/>
    <w:rsid w:val="3A060592"/>
    <w:rsid w:val="3AAEAD1C"/>
    <w:rsid w:val="3AF9C885"/>
    <w:rsid w:val="3AFDF0BB"/>
    <w:rsid w:val="3B12A128"/>
    <w:rsid w:val="3B6A0C76"/>
    <w:rsid w:val="3CA5753F"/>
    <w:rsid w:val="3D9FF5CD"/>
    <w:rsid w:val="3DCB68C0"/>
    <w:rsid w:val="3E9EA2B0"/>
    <w:rsid w:val="3F0C03DD"/>
    <w:rsid w:val="3F0DA334"/>
    <w:rsid w:val="3F5BA3A9"/>
    <w:rsid w:val="3FE96342"/>
    <w:rsid w:val="40019370"/>
    <w:rsid w:val="406AFFEE"/>
    <w:rsid w:val="408321B9"/>
    <w:rsid w:val="40D7C960"/>
    <w:rsid w:val="40E472CB"/>
    <w:rsid w:val="41042773"/>
    <w:rsid w:val="411D5484"/>
    <w:rsid w:val="41BF0D61"/>
    <w:rsid w:val="422F0531"/>
    <w:rsid w:val="4243A49F"/>
    <w:rsid w:val="42C40B2B"/>
    <w:rsid w:val="43393432"/>
    <w:rsid w:val="433B51D9"/>
    <w:rsid w:val="441F2A92"/>
    <w:rsid w:val="442F14CC"/>
    <w:rsid w:val="4519BCCA"/>
    <w:rsid w:val="45C9DDED"/>
    <w:rsid w:val="45CAE52D"/>
    <w:rsid w:val="4657AC97"/>
    <w:rsid w:val="466F0854"/>
    <w:rsid w:val="467E83F6"/>
    <w:rsid w:val="46FDB0F7"/>
    <w:rsid w:val="480AD8B5"/>
    <w:rsid w:val="48CBBEC6"/>
    <w:rsid w:val="48F610FB"/>
    <w:rsid w:val="4951A640"/>
    <w:rsid w:val="498CF491"/>
    <w:rsid w:val="49F5F0A8"/>
    <w:rsid w:val="4A1CC378"/>
    <w:rsid w:val="4A395595"/>
    <w:rsid w:val="4A3CEF85"/>
    <w:rsid w:val="4A91E15C"/>
    <w:rsid w:val="4AC63CE3"/>
    <w:rsid w:val="4B29511A"/>
    <w:rsid w:val="4B82153A"/>
    <w:rsid w:val="4BEAE76F"/>
    <w:rsid w:val="4C035F88"/>
    <w:rsid w:val="4CCD0F01"/>
    <w:rsid w:val="4DC0728A"/>
    <w:rsid w:val="4E7F6F1A"/>
    <w:rsid w:val="4E85F206"/>
    <w:rsid w:val="4E9D9069"/>
    <w:rsid w:val="4F65527F"/>
    <w:rsid w:val="4FDF73C8"/>
    <w:rsid w:val="4FE35D72"/>
    <w:rsid w:val="500792CA"/>
    <w:rsid w:val="50C4E2C5"/>
    <w:rsid w:val="51AC9DD7"/>
    <w:rsid w:val="51B225DA"/>
    <w:rsid w:val="5259C869"/>
    <w:rsid w:val="525DF09F"/>
    <w:rsid w:val="528F1A60"/>
    <w:rsid w:val="52D30097"/>
    <w:rsid w:val="531AAE7A"/>
    <w:rsid w:val="533F1554"/>
    <w:rsid w:val="53FBF501"/>
    <w:rsid w:val="542799CA"/>
    <w:rsid w:val="543A24DD"/>
    <w:rsid w:val="54B6CE95"/>
    <w:rsid w:val="54CB163C"/>
    <w:rsid w:val="54D1D2B7"/>
    <w:rsid w:val="55C5C2F3"/>
    <w:rsid w:val="5601AD1C"/>
    <w:rsid w:val="56A8A24E"/>
    <w:rsid w:val="570F9363"/>
    <w:rsid w:val="571EBB07"/>
    <w:rsid w:val="5725D364"/>
    <w:rsid w:val="5734D758"/>
    <w:rsid w:val="579D7D7D"/>
    <w:rsid w:val="57DD5500"/>
    <w:rsid w:val="584C6035"/>
    <w:rsid w:val="58D0F773"/>
    <w:rsid w:val="58FA7DA0"/>
    <w:rsid w:val="59413B64"/>
    <w:rsid w:val="59F3444F"/>
    <w:rsid w:val="5A6C781A"/>
    <w:rsid w:val="5A7DB2F1"/>
    <w:rsid w:val="5B58FDCB"/>
    <w:rsid w:val="5BA83D0D"/>
    <w:rsid w:val="5C08487B"/>
    <w:rsid w:val="5CCCCF3D"/>
    <w:rsid w:val="5CFCC607"/>
    <w:rsid w:val="5DB7AC7B"/>
    <w:rsid w:val="5DFB842A"/>
    <w:rsid w:val="5E5DB0DB"/>
    <w:rsid w:val="5F21F376"/>
    <w:rsid w:val="607CF035"/>
    <w:rsid w:val="614C4D49"/>
    <w:rsid w:val="620F680E"/>
    <w:rsid w:val="623A7F6E"/>
    <w:rsid w:val="6352744F"/>
    <w:rsid w:val="63635F6C"/>
    <w:rsid w:val="642BEA1D"/>
    <w:rsid w:val="64D51C53"/>
    <w:rsid w:val="655DDE84"/>
    <w:rsid w:val="65BCD9C3"/>
    <w:rsid w:val="65BF56D4"/>
    <w:rsid w:val="664F9A63"/>
    <w:rsid w:val="66E2D931"/>
    <w:rsid w:val="67435D56"/>
    <w:rsid w:val="67523599"/>
    <w:rsid w:val="68A64BFE"/>
    <w:rsid w:val="68F6F796"/>
    <w:rsid w:val="690344D7"/>
    <w:rsid w:val="6976004E"/>
    <w:rsid w:val="6A82EB9E"/>
    <w:rsid w:val="6B3296D8"/>
    <w:rsid w:val="6BAD2600"/>
    <w:rsid w:val="6C736F1B"/>
    <w:rsid w:val="6CF906DB"/>
    <w:rsid w:val="6D4108DB"/>
    <w:rsid w:val="6D489E27"/>
    <w:rsid w:val="6DBA3CA6"/>
    <w:rsid w:val="6E29B815"/>
    <w:rsid w:val="6E7EBAEB"/>
    <w:rsid w:val="6E83EC1F"/>
    <w:rsid w:val="6EE46E88"/>
    <w:rsid w:val="6FED2F58"/>
    <w:rsid w:val="6FF67CA9"/>
    <w:rsid w:val="714948B6"/>
    <w:rsid w:val="71523CF3"/>
    <w:rsid w:val="721C0F4A"/>
    <w:rsid w:val="72A1141F"/>
    <w:rsid w:val="733903B1"/>
    <w:rsid w:val="737BEBAE"/>
    <w:rsid w:val="73A833DC"/>
    <w:rsid w:val="74EB401D"/>
    <w:rsid w:val="7544043D"/>
    <w:rsid w:val="7553B00C"/>
    <w:rsid w:val="761BA19D"/>
    <w:rsid w:val="76D7B9D1"/>
    <w:rsid w:val="77B771FE"/>
    <w:rsid w:val="7940B74C"/>
    <w:rsid w:val="7948F635"/>
    <w:rsid w:val="79A3EDF7"/>
    <w:rsid w:val="7A496BAF"/>
    <w:rsid w:val="7A5A862D"/>
    <w:rsid w:val="7AED2074"/>
    <w:rsid w:val="7BA9C933"/>
    <w:rsid w:val="7C65DBA2"/>
    <w:rsid w:val="7CDFE5F7"/>
    <w:rsid w:val="7DBF2599"/>
    <w:rsid w:val="7DEA14F5"/>
    <w:rsid w:val="7E805B64"/>
    <w:rsid w:val="7E922263"/>
    <w:rsid w:val="7EC42363"/>
    <w:rsid w:val="7F5AF5FA"/>
    <w:rsid w:val="7F649305"/>
    <w:rsid w:val="7FC09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95ED"/>
  <w15:chartTrackingRefBased/>
  <w15:docId w15:val="{08F8BB4F-9D49-43BD-A11F-1C9FEBC8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C0DF0"/>
    <w:rPr>
      <w:b/>
      <w:bCs/>
    </w:rPr>
  </w:style>
  <w:style w:type="character" w:customStyle="1" w:styleId="CommentSubjectChar">
    <w:name w:val="Comment Subject Char"/>
    <w:basedOn w:val="CommentTextChar"/>
    <w:link w:val="CommentSubject"/>
    <w:uiPriority w:val="99"/>
    <w:semiHidden/>
    <w:rsid w:val="00DC0DF0"/>
    <w:rPr>
      <w:b/>
      <w:bCs/>
      <w:sz w:val="20"/>
      <w:szCs w:val="20"/>
    </w:rPr>
  </w:style>
  <w:style w:type="character" w:styleId="FollowedHyperlink">
    <w:name w:val="FollowedHyperlink"/>
    <w:basedOn w:val="DefaultParagraphFont"/>
    <w:uiPriority w:val="99"/>
    <w:semiHidden/>
    <w:unhideWhenUsed/>
    <w:rsid w:val="00522817"/>
    <w:rPr>
      <w:color w:val="954F72" w:themeColor="followedHyperlink"/>
      <w:u w:val="single"/>
    </w:rPr>
  </w:style>
  <w:style w:type="character" w:styleId="UnresolvedMention">
    <w:name w:val="Unresolved Mention"/>
    <w:basedOn w:val="DefaultParagraphFont"/>
    <w:uiPriority w:val="99"/>
    <w:semiHidden/>
    <w:unhideWhenUsed/>
    <w:rsid w:val="00522817"/>
    <w:rPr>
      <w:color w:val="605E5C"/>
      <w:shd w:val="clear" w:color="auto" w:fill="E1DFDD"/>
    </w:rPr>
  </w:style>
  <w:style w:type="paragraph" w:styleId="Footer">
    <w:name w:val="footer"/>
    <w:basedOn w:val="Normal"/>
    <w:link w:val="FooterChar"/>
    <w:uiPriority w:val="99"/>
    <w:unhideWhenUsed/>
    <w:rsid w:val="00522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817"/>
  </w:style>
  <w:style w:type="character" w:styleId="PageNumber">
    <w:name w:val="page number"/>
    <w:basedOn w:val="DefaultParagraphFont"/>
    <w:uiPriority w:val="99"/>
    <w:semiHidden/>
    <w:unhideWhenUsed/>
    <w:rsid w:val="00522817"/>
  </w:style>
  <w:style w:type="paragraph" w:customStyle="1" w:styleId="commentcontentpara">
    <w:name w:val="commentcontentpara"/>
    <w:basedOn w:val="Normal"/>
    <w:rsid w:val="00B337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37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59">
      <w:bodyDiv w:val="1"/>
      <w:marLeft w:val="0"/>
      <w:marRight w:val="0"/>
      <w:marTop w:val="0"/>
      <w:marBottom w:val="0"/>
      <w:divBdr>
        <w:top w:val="none" w:sz="0" w:space="0" w:color="auto"/>
        <w:left w:val="none" w:sz="0" w:space="0" w:color="auto"/>
        <w:bottom w:val="none" w:sz="0" w:space="0" w:color="auto"/>
        <w:right w:val="none" w:sz="0" w:space="0" w:color="auto"/>
      </w:divBdr>
      <w:divsChild>
        <w:div w:id="1724672728">
          <w:marLeft w:val="0"/>
          <w:marRight w:val="0"/>
          <w:marTop w:val="0"/>
          <w:marBottom w:val="0"/>
          <w:divBdr>
            <w:top w:val="none" w:sz="0" w:space="0" w:color="auto"/>
            <w:left w:val="none" w:sz="0" w:space="0" w:color="auto"/>
            <w:bottom w:val="none" w:sz="0" w:space="0" w:color="auto"/>
            <w:right w:val="none" w:sz="0" w:space="0" w:color="auto"/>
          </w:divBdr>
        </w:div>
      </w:divsChild>
    </w:div>
    <w:div w:id="1121805714">
      <w:bodyDiv w:val="1"/>
      <w:marLeft w:val="0"/>
      <w:marRight w:val="0"/>
      <w:marTop w:val="0"/>
      <w:marBottom w:val="0"/>
      <w:divBdr>
        <w:top w:val="none" w:sz="0" w:space="0" w:color="auto"/>
        <w:left w:val="none" w:sz="0" w:space="0" w:color="auto"/>
        <w:bottom w:val="none" w:sz="0" w:space="0" w:color="auto"/>
        <w:right w:val="none" w:sz="0" w:space="0" w:color="auto"/>
      </w:divBdr>
      <w:divsChild>
        <w:div w:id="1929847895">
          <w:marLeft w:val="0"/>
          <w:marRight w:val="0"/>
          <w:marTop w:val="0"/>
          <w:marBottom w:val="0"/>
          <w:divBdr>
            <w:top w:val="none" w:sz="0" w:space="0" w:color="auto"/>
            <w:left w:val="none" w:sz="0" w:space="0" w:color="auto"/>
            <w:bottom w:val="none" w:sz="0" w:space="0" w:color="auto"/>
            <w:right w:val="none" w:sz="0" w:space="0" w:color="auto"/>
          </w:divBdr>
        </w:div>
      </w:divsChild>
    </w:div>
    <w:div w:id="119422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p.edu/academics/research/institutional-review-board" TargetMode="External"/><Relationship Id="rId13" Type="http://schemas.openxmlformats.org/officeDocument/2006/relationships/hyperlink" Target="https://www.ecfr.gov/cgi-bin/text-idx?SID=75addf8360492a28075e3a218631fcdc&amp;pitd=20180719&amp;node=pt45.1.46&amp;rgn=div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hs.gov/ohrp/regulations-and-policy/regulations/45-cfr-46/index.html" TargetMode="External"/><Relationship Id="rId12" Type="http://schemas.openxmlformats.org/officeDocument/2006/relationships/hyperlink" Target="https://www.ecfr.gov/cgi-bin/text-idx?SID=75addf8360492a28075e3a218631fcdc&amp;pitd=20180719&amp;node=pt45.1.46&amp;rgn=div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gi-bin/text-" TargetMode="External"/><Relationship Id="rId5" Type="http://schemas.openxmlformats.org/officeDocument/2006/relationships/footnotes" Target="footnotes.xml"/><Relationship Id="rId15" Type="http://schemas.openxmlformats.org/officeDocument/2006/relationships/hyperlink" Target="https://www.hhs.gov/ohrp/regulations-and-policy/belmont-report/index.html" TargetMode="External"/><Relationship Id="rId10" Type="http://schemas.openxmlformats.org/officeDocument/2006/relationships/hyperlink" Target="https://www.hhs.gov/ohrp/compliance-and-reporting/guidance-on-reporting-incident/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hs.gov/ohrp/compliance-and-reporting/guidance-on-reporting-incident/index.html" TargetMode="External"/><Relationship Id="rId14" Type="http://schemas.openxmlformats.org/officeDocument/2006/relationships/hyperlink" Target="https://www.hhs.gov/ohrp/regulations-and-policy/belmont-repor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2747</Words>
  <Characters>15664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Smith</dc:creator>
  <cp:keywords/>
  <dc:description/>
  <cp:lastModifiedBy>Sherry A Hunt</cp:lastModifiedBy>
  <cp:revision>2</cp:revision>
  <dcterms:created xsi:type="dcterms:W3CDTF">2022-05-31T19:07:00Z</dcterms:created>
  <dcterms:modified xsi:type="dcterms:W3CDTF">2022-05-31T19:07:00Z</dcterms:modified>
</cp:coreProperties>
</file>