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7FD3" w:rsidRPr="000C7FD3" w:rsidRDefault="000C7FD3" w:rsidP="000C7FD3">
      <w:pPr>
        <w:spacing w:line="240" w:lineRule="auto"/>
        <w:rPr>
          <w:rFonts w:ascii="Times New Roman" w:hAnsi="Times New Roman"/>
          <w:b/>
          <w:sz w:val="24"/>
          <w:szCs w:val="24"/>
        </w:rPr>
      </w:pPr>
      <w:r w:rsidRPr="000C7FD3">
        <w:rPr>
          <w:rFonts w:ascii="Times New Roman" w:hAnsi="Times New Roman"/>
          <w:b/>
          <w:sz w:val="24"/>
          <w:szCs w:val="24"/>
        </w:rPr>
        <w:t>Fall 2020 Master’s Theses</w:t>
      </w:r>
    </w:p>
    <w:p w:rsidR="00C7470E" w:rsidRDefault="00C7470E" w:rsidP="00C7470E">
      <w:pPr>
        <w:spacing w:line="240" w:lineRule="auto"/>
        <w:jc w:val="center"/>
        <w:rPr>
          <w:rFonts w:ascii="Times New Roman" w:hAnsi="Times New Roman"/>
          <w:sz w:val="24"/>
          <w:szCs w:val="24"/>
        </w:rPr>
      </w:pPr>
      <w:r>
        <w:rPr>
          <w:rFonts w:ascii="Times New Roman" w:hAnsi="Times New Roman"/>
          <w:sz w:val="24"/>
          <w:szCs w:val="24"/>
        </w:rPr>
        <w:t xml:space="preserve">Factors Affecting Science Instructors’, </w:t>
      </w:r>
      <w:bookmarkStart w:id="0" w:name="_GoBack"/>
      <w:bookmarkEnd w:id="0"/>
      <w:r>
        <w:rPr>
          <w:rFonts w:ascii="Times New Roman" w:hAnsi="Times New Roman"/>
          <w:sz w:val="24"/>
          <w:szCs w:val="24"/>
        </w:rPr>
        <w:t xml:space="preserve">Science Undergraduate Students’, and </w:t>
      </w:r>
      <w:r>
        <w:rPr>
          <w:rFonts w:ascii="Times New Roman" w:hAnsi="Times New Roman"/>
          <w:sz w:val="24"/>
          <w:szCs w:val="24"/>
        </w:rPr>
        <w:br/>
        <w:t>Non - Science Undergraduate Students’ Perceptions of Bioethical Decision Making</w:t>
      </w:r>
    </w:p>
    <w:p w:rsidR="00C7470E" w:rsidRDefault="00C7470E" w:rsidP="00C7470E">
      <w:pPr>
        <w:spacing w:line="240" w:lineRule="auto"/>
        <w:jc w:val="center"/>
        <w:rPr>
          <w:rFonts w:ascii="Times New Roman" w:hAnsi="Times New Roman"/>
          <w:sz w:val="24"/>
          <w:szCs w:val="24"/>
        </w:rPr>
      </w:pPr>
      <w:r>
        <w:rPr>
          <w:rFonts w:ascii="Times New Roman" w:hAnsi="Times New Roman"/>
          <w:sz w:val="24"/>
          <w:szCs w:val="24"/>
        </w:rPr>
        <w:t>Ashley Lytle – MA Science Education/Biology</w:t>
      </w:r>
    </w:p>
    <w:p w:rsidR="00C7470E" w:rsidRPr="002E2259" w:rsidRDefault="00C7470E" w:rsidP="00C7470E">
      <w:pPr>
        <w:spacing w:line="259" w:lineRule="auto"/>
        <w:jc w:val="center"/>
        <w:rPr>
          <w:rFonts w:ascii="Times New Roman" w:hAnsi="Times New Roman"/>
          <w:b/>
          <w:bCs/>
          <w:sz w:val="24"/>
          <w:szCs w:val="24"/>
        </w:rPr>
      </w:pPr>
      <w:r w:rsidRPr="002E2259">
        <w:rPr>
          <w:rFonts w:ascii="Times New Roman" w:hAnsi="Times New Roman"/>
          <w:b/>
          <w:bCs/>
          <w:sz w:val="24"/>
          <w:szCs w:val="24"/>
        </w:rPr>
        <w:t>Abstract</w:t>
      </w:r>
    </w:p>
    <w:p w:rsidR="00A12192" w:rsidRDefault="00A12192" w:rsidP="00A12192">
      <w:pPr>
        <w:rPr>
          <w:rFonts w:ascii="Times New Roman" w:hAnsi="Times New Roman"/>
          <w:sz w:val="24"/>
          <w:szCs w:val="24"/>
        </w:rPr>
      </w:pPr>
      <w:r>
        <w:rPr>
          <w:rFonts w:ascii="Times New Roman" w:hAnsi="Times New Roman"/>
          <w:sz w:val="24"/>
          <w:szCs w:val="24"/>
        </w:rPr>
        <w:t>Bioethics is important for a variety of fields and for a variety of reasons. There is renewed interest in bioethics and bioethical decision making, especially in STEM with the advent of new discoveries such as genetic engineering. By examining the possible factors and the participants’ reasoning behind their ethical decisions, bioethics educational courses or training can be customized to fill in knowledge gaps of both students and professors. This knowledge will also provide a more well-rounded thought process that includes understanding other viewpoints when making important bioethical decisions. The purpose of this study was to examine the factors and ethical approaches that affect bioethical decision-making in undergraduate students and STEM professors (</w:t>
      </w:r>
      <w:bookmarkStart w:id="1" w:name="_Hlk51324249"/>
      <w:r>
        <w:rPr>
          <w:rFonts w:ascii="Times New Roman" w:hAnsi="Times New Roman"/>
          <w:sz w:val="24"/>
          <w:szCs w:val="24"/>
        </w:rPr>
        <w:t xml:space="preserve">physics, geology, geography, biology, chemistry) </w:t>
      </w:r>
      <w:bookmarkEnd w:id="1"/>
      <w:r>
        <w:rPr>
          <w:rFonts w:ascii="Times New Roman" w:hAnsi="Times New Roman"/>
          <w:sz w:val="24"/>
          <w:szCs w:val="24"/>
        </w:rPr>
        <w:t xml:space="preserve">at a regional comprehensive university in the Southeastern U.S. A bioethical survey based on an international survey on bioethics by </w:t>
      </w:r>
      <w:proofErr w:type="spellStart"/>
      <w:r>
        <w:rPr>
          <w:rFonts w:ascii="Times New Roman" w:hAnsi="Times New Roman"/>
          <w:sz w:val="24"/>
          <w:szCs w:val="24"/>
        </w:rPr>
        <w:t>Macer</w:t>
      </w:r>
      <w:proofErr w:type="spellEnd"/>
      <w:r>
        <w:rPr>
          <w:rFonts w:ascii="Times New Roman" w:hAnsi="Times New Roman"/>
          <w:sz w:val="24"/>
          <w:szCs w:val="24"/>
        </w:rPr>
        <w:t xml:space="preserve"> was administered online to undergraduate students with a return rate of approximately 2%. Additionally, this survey was administered to STEM professors with a return rate of approximately 28%. Interviews were conducted from volunteers on the survey to determine possible ethical approaches to specific answers.</w:t>
      </w:r>
      <w:r>
        <w:t xml:space="preserve"> </w:t>
      </w:r>
      <w:r>
        <w:rPr>
          <w:rFonts w:ascii="Times New Roman" w:hAnsi="Times New Roman"/>
          <w:sz w:val="24"/>
          <w:szCs w:val="24"/>
        </w:rPr>
        <w:t xml:space="preserve">The survey data was analyzed first using a series of </w:t>
      </w:r>
      <w:r w:rsidR="00BB1479">
        <w:rPr>
          <w:rFonts w:ascii="Times New Roman" w:hAnsi="Times New Roman"/>
          <w:sz w:val="24"/>
          <w:szCs w:val="24"/>
        </w:rPr>
        <w:t xml:space="preserve">two-way </w:t>
      </w:r>
      <w:r>
        <w:rPr>
          <w:rFonts w:ascii="Times New Roman" w:hAnsi="Times New Roman"/>
          <w:sz w:val="24"/>
          <w:szCs w:val="24"/>
        </w:rPr>
        <w:t xml:space="preserve">ANOVAS comparing participant type, gender, religion, ethnicity, and age. </w:t>
      </w:r>
      <w:r w:rsidR="00BB1479">
        <w:rPr>
          <w:rFonts w:ascii="Times New Roman" w:hAnsi="Times New Roman"/>
          <w:sz w:val="24"/>
          <w:szCs w:val="24"/>
        </w:rPr>
        <w:t>These</w:t>
      </w:r>
      <w:r>
        <w:rPr>
          <w:rFonts w:ascii="Times New Roman" w:hAnsi="Times New Roman"/>
          <w:sz w:val="24"/>
          <w:szCs w:val="24"/>
        </w:rPr>
        <w:t xml:space="preserve"> findings were</w:t>
      </w:r>
      <w:r w:rsidR="00BB1479">
        <w:rPr>
          <w:rFonts w:ascii="Times New Roman" w:hAnsi="Times New Roman"/>
          <w:sz w:val="24"/>
          <w:szCs w:val="24"/>
        </w:rPr>
        <w:t xml:space="preserve"> then</w:t>
      </w:r>
      <w:r>
        <w:rPr>
          <w:rFonts w:ascii="Times New Roman" w:hAnsi="Times New Roman"/>
          <w:sz w:val="24"/>
          <w:szCs w:val="24"/>
        </w:rPr>
        <w:t xml:space="preserve"> further explored through an analysis of the interviews. Adjustments were made as necessary based on the interview data. It was found that participant type and gender were significant when making bioethical decisions. Ethical approaches yielded patterns with specific answers by revealing the common and uncommon reasoning processes. Additionally, experience with bioethics and bioscience topics positively correlated with acceptance or approval of bioethical scenarios such as genetic modification. These results reveal</w:t>
      </w:r>
      <w:r w:rsidR="008946BC">
        <w:rPr>
          <w:rFonts w:ascii="Times New Roman" w:hAnsi="Times New Roman"/>
          <w:sz w:val="24"/>
          <w:szCs w:val="24"/>
        </w:rPr>
        <w:t>ed</w:t>
      </w:r>
      <w:r>
        <w:rPr>
          <w:rFonts w:ascii="Times New Roman" w:hAnsi="Times New Roman"/>
          <w:sz w:val="24"/>
          <w:szCs w:val="24"/>
        </w:rPr>
        <w:t xml:space="preserve"> that experiences and demographics such as gender d</w:t>
      </w:r>
      <w:r w:rsidR="008946BC">
        <w:rPr>
          <w:rFonts w:ascii="Times New Roman" w:hAnsi="Times New Roman"/>
          <w:sz w:val="24"/>
          <w:szCs w:val="24"/>
        </w:rPr>
        <w:t>id</w:t>
      </w:r>
      <w:r>
        <w:rPr>
          <w:rFonts w:ascii="Times New Roman" w:hAnsi="Times New Roman"/>
          <w:sz w:val="24"/>
          <w:szCs w:val="24"/>
        </w:rPr>
        <w:t xml:space="preserve"> affect attitudes and could be used to possibly predict decisions of certain populations, so awareness of these factors and alternative viewpoints are important to consider when discussing or teaching about bioethics. These findings </w:t>
      </w:r>
      <w:r w:rsidR="00FC1D67">
        <w:rPr>
          <w:rFonts w:ascii="Times New Roman" w:hAnsi="Times New Roman"/>
          <w:sz w:val="24"/>
          <w:szCs w:val="24"/>
        </w:rPr>
        <w:t>validate</w:t>
      </w:r>
      <w:r>
        <w:rPr>
          <w:rFonts w:ascii="Times New Roman" w:hAnsi="Times New Roman"/>
          <w:sz w:val="24"/>
          <w:szCs w:val="24"/>
        </w:rPr>
        <w:t xml:space="preserve"> that bioethics and bioethical decision making needs to be included across the educational spectrum.</w:t>
      </w:r>
    </w:p>
    <w:p w:rsidR="00C7470E" w:rsidRDefault="00C7470E" w:rsidP="00C7470E">
      <w:pPr>
        <w:ind w:firstLine="720"/>
        <w:rPr>
          <w:rFonts w:ascii="Times New Roman" w:hAnsi="Times New Roman"/>
          <w:sz w:val="24"/>
          <w:szCs w:val="24"/>
        </w:rPr>
      </w:pPr>
      <w:r w:rsidRPr="00DC021C">
        <w:rPr>
          <w:rFonts w:ascii="Times New Roman" w:hAnsi="Times New Roman"/>
          <w:i/>
          <w:iCs/>
          <w:sz w:val="24"/>
          <w:szCs w:val="24"/>
        </w:rPr>
        <w:t>Keywords:</w:t>
      </w:r>
      <w:r>
        <w:rPr>
          <w:rFonts w:ascii="Times New Roman" w:hAnsi="Times New Roman"/>
          <w:sz w:val="24"/>
          <w:szCs w:val="24"/>
        </w:rPr>
        <w:t xml:space="preserve"> Bioethics, Ethics, University, Undergraduate, STEM </w:t>
      </w:r>
    </w:p>
    <w:p w:rsidR="000C7FD3" w:rsidRDefault="000C7FD3">
      <w:pPr>
        <w:spacing w:line="259" w:lineRule="auto"/>
      </w:pPr>
      <w:r>
        <w:br w:type="page"/>
      </w:r>
    </w:p>
    <w:p w:rsidR="00FF4D3D" w:rsidRDefault="00FF4D3D"/>
    <w:p w:rsidR="00185FE5" w:rsidRPr="00DB0693" w:rsidRDefault="00185FE5" w:rsidP="00185FE5">
      <w:pPr>
        <w:jc w:val="center"/>
      </w:pPr>
      <w:r w:rsidRPr="00DB0693">
        <w:rPr>
          <w:rFonts w:ascii="Times New Roman" w:eastAsia="Times New Roman" w:hAnsi="Times New Roman"/>
          <w:sz w:val="24"/>
          <w:szCs w:val="24"/>
        </w:rPr>
        <w:t>Greenhouse Study on Southern Highbush Blueberries in Soilless Media Amended with Biochar to Enhance Plant Growth and Mycorrhizal Fungi Colonization</w:t>
      </w:r>
    </w:p>
    <w:p w:rsidR="000C7FD3" w:rsidRDefault="00185FE5" w:rsidP="000C7FD3">
      <w:pPr>
        <w:spacing w:line="240" w:lineRule="auto"/>
        <w:jc w:val="center"/>
        <w:rPr>
          <w:rFonts w:ascii="Times New Roman" w:hAnsi="Times New Roman"/>
          <w:sz w:val="24"/>
          <w:szCs w:val="24"/>
        </w:rPr>
      </w:pPr>
      <w:r>
        <w:rPr>
          <w:rFonts w:ascii="Times New Roman" w:hAnsi="Times New Roman"/>
          <w:sz w:val="24"/>
          <w:szCs w:val="24"/>
        </w:rPr>
        <w:t>Mariam Qambar – MA Science Education/Biology</w:t>
      </w:r>
    </w:p>
    <w:p w:rsidR="00185FE5" w:rsidRPr="00185FE5" w:rsidRDefault="00185FE5" w:rsidP="00185FE5">
      <w:pPr>
        <w:spacing w:line="240" w:lineRule="auto"/>
        <w:jc w:val="center"/>
        <w:rPr>
          <w:rFonts w:ascii="Times New Roman" w:hAnsi="Times New Roman"/>
          <w:b/>
          <w:sz w:val="24"/>
          <w:szCs w:val="24"/>
        </w:rPr>
      </w:pPr>
      <w:r w:rsidRPr="00185FE5">
        <w:rPr>
          <w:rFonts w:ascii="Times New Roman" w:hAnsi="Times New Roman"/>
          <w:b/>
          <w:sz w:val="24"/>
          <w:szCs w:val="24"/>
        </w:rPr>
        <w:t>Abstract</w:t>
      </w:r>
    </w:p>
    <w:p w:rsidR="000C7FD3" w:rsidRDefault="00005DE6" w:rsidP="000C7FD3">
      <w:pPr>
        <w:spacing w:after="0" w:line="240" w:lineRule="auto"/>
        <w:textAlignment w:val="baseline"/>
        <w:rPr>
          <w:rFonts w:ascii="Times New Roman" w:eastAsia="Times New Roman" w:hAnsi="Times New Roman"/>
          <w:sz w:val="24"/>
          <w:szCs w:val="24"/>
        </w:rPr>
      </w:pPr>
      <w:bookmarkStart w:id="2" w:name="_Hlk56016658"/>
      <w:r w:rsidRPr="00E969CE">
        <w:rPr>
          <w:rFonts w:ascii="Times New Roman" w:hAnsi="Times New Roman"/>
          <w:sz w:val="24"/>
          <w:szCs w:val="24"/>
        </w:rPr>
        <w:t xml:space="preserve">Amending soil with biochar, a highly porous and carbonaceous product of pyrolyzed organic material, has been found to improve blueberry growth. However, little work has been done to investigate the use of biochar as a component of soilless substrates for containerized </w:t>
      </w:r>
      <w:r>
        <w:rPr>
          <w:rFonts w:ascii="Times New Roman" w:hAnsi="Times New Roman"/>
          <w:sz w:val="24"/>
          <w:szCs w:val="24"/>
        </w:rPr>
        <w:t xml:space="preserve">blueberry </w:t>
      </w:r>
      <w:r w:rsidRPr="00E969CE">
        <w:rPr>
          <w:rFonts w:ascii="Times New Roman" w:hAnsi="Times New Roman"/>
          <w:sz w:val="24"/>
          <w:szCs w:val="24"/>
        </w:rPr>
        <w:t xml:space="preserve">production, a growing trend in the blueberry industry. Peat moss and perlite, two of the most </w:t>
      </w:r>
      <w:r>
        <w:rPr>
          <w:rFonts w:ascii="Times New Roman" w:hAnsi="Times New Roman"/>
          <w:sz w:val="24"/>
          <w:szCs w:val="24"/>
        </w:rPr>
        <w:t xml:space="preserve">commonly </w:t>
      </w:r>
      <w:r w:rsidRPr="00E969CE">
        <w:rPr>
          <w:rFonts w:ascii="Times New Roman" w:hAnsi="Times New Roman"/>
          <w:sz w:val="24"/>
          <w:szCs w:val="24"/>
        </w:rPr>
        <w:t xml:space="preserve">used components of soilless substrates, are not considered sustainable due to limited resources and high transportation costs. </w:t>
      </w:r>
      <w:r w:rsidRPr="00E969CE">
        <w:rPr>
          <w:rFonts w:ascii="Times New Roman" w:eastAsia="Times New Roman" w:hAnsi="Times New Roman"/>
          <w:sz w:val="24"/>
          <w:szCs w:val="24"/>
        </w:rPr>
        <w:t>The purpose of this study was to determine if biochar can be a replacement for perlite and peat moss in containerized production of blueberry. A 12-week greenhouse study was conducted to evaluate the plant growth of two southern highbush blueberry cultivars (</w:t>
      </w:r>
      <w:r w:rsidRPr="00E969CE">
        <w:rPr>
          <w:rFonts w:ascii="Times New Roman" w:eastAsia="Times New Roman" w:hAnsi="Times New Roman"/>
          <w:i/>
          <w:iCs/>
          <w:sz w:val="24"/>
          <w:szCs w:val="24"/>
        </w:rPr>
        <w:t xml:space="preserve">Vaccinium </w:t>
      </w:r>
      <w:proofErr w:type="spellStart"/>
      <w:r>
        <w:rPr>
          <w:rFonts w:ascii="Times New Roman" w:eastAsia="Times New Roman" w:hAnsi="Times New Roman"/>
          <w:i/>
          <w:iCs/>
          <w:sz w:val="24"/>
          <w:szCs w:val="24"/>
        </w:rPr>
        <w:t>darrowii</w:t>
      </w:r>
      <w:proofErr w:type="spellEnd"/>
      <w:r w:rsidRPr="00E969CE">
        <w:rPr>
          <w:rFonts w:ascii="Times New Roman" w:eastAsia="Times New Roman" w:hAnsi="Times New Roman"/>
          <w:sz w:val="24"/>
          <w:szCs w:val="24"/>
        </w:rPr>
        <w:t>) ‘Jubilee’ and ‘Jewel’</w:t>
      </w:r>
      <w:r>
        <w:rPr>
          <w:rFonts w:ascii="Times New Roman" w:eastAsia="Times New Roman" w:hAnsi="Times New Roman"/>
          <w:sz w:val="24"/>
          <w:szCs w:val="24"/>
        </w:rPr>
        <w:t xml:space="preserve"> in using locally sourced materials [green waste compost (C) and pine bark (Bk)] in conjunction with sphagnum peat moss (Pt), perlite (</w:t>
      </w:r>
      <w:proofErr w:type="spellStart"/>
      <w:r>
        <w:rPr>
          <w:rFonts w:ascii="Times New Roman" w:eastAsia="Times New Roman" w:hAnsi="Times New Roman"/>
          <w:sz w:val="24"/>
          <w:szCs w:val="24"/>
        </w:rPr>
        <w:t>Pr</w:t>
      </w:r>
      <w:proofErr w:type="spellEnd"/>
      <w:r>
        <w:rPr>
          <w:rFonts w:ascii="Times New Roman" w:eastAsia="Times New Roman" w:hAnsi="Times New Roman"/>
          <w:sz w:val="24"/>
          <w:szCs w:val="24"/>
        </w:rPr>
        <w:t xml:space="preserve">), and biochar (B) produced from Douglas fir at </w:t>
      </w:r>
      <w:r w:rsidRPr="00E969CE">
        <w:rPr>
          <w:rFonts w:ascii="Times New Roman" w:eastAsia="Times New Roman" w:hAnsi="Times New Roman"/>
          <w:sz w:val="24"/>
          <w:szCs w:val="24"/>
        </w:rPr>
        <w:t xml:space="preserve">700° </w:t>
      </w:r>
      <w:proofErr w:type="gramStart"/>
      <w:r w:rsidRPr="00E969CE">
        <w:rPr>
          <w:rFonts w:ascii="Times New Roman" w:eastAsia="Times New Roman" w:hAnsi="Times New Roman"/>
          <w:sz w:val="24"/>
          <w:szCs w:val="24"/>
        </w:rPr>
        <w:t>C</w:t>
      </w:r>
      <w:r>
        <w:rPr>
          <w:rFonts w:ascii="Times New Roman" w:eastAsia="Times New Roman" w:hAnsi="Times New Roman"/>
          <w:sz w:val="24"/>
          <w:szCs w:val="24"/>
        </w:rPr>
        <w:t xml:space="preserve"> .</w:t>
      </w:r>
      <w:proofErr w:type="gramEnd"/>
      <w:r>
        <w:rPr>
          <w:rFonts w:ascii="Times New Roman" w:eastAsia="Times New Roman" w:hAnsi="Times New Roman"/>
          <w:sz w:val="24"/>
          <w:szCs w:val="24"/>
        </w:rPr>
        <w:t xml:space="preserve"> Substrate treatments were Bk</w:t>
      </w:r>
      <w:r w:rsidRPr="006278D2">
        <w:rPr>
          <w:rFonts w:ascii="Times New Roman" w:eastAsia="Times New Roman" w:hAnsi="Times New Roman"/>
          <w:sz w:val="24"/>
          <w:szCs w:val="24"/>
          <w:vertAlign w:val="subscript"/>
        </w:rPr>
        <w:t>30</w:t>
      </w:r>
      <w:r>
        <w:rPr>
          <w:rFonts w:ascii="Times New Roman" w:eastAsia="Times New Roman" w:hAnsi="Times New Roman"/>
          <w:sz w:val="24"/>
          <w:szCs w:val="24"/>
        </w:rPr>
        <w:t>C</w:t>
      </w:r>
      <w:r w:rsidRPr="006278D2">
        <w:rPr>
          <w:rFonts w:ascii="Times New Roman" w:eastAsia="Times New Roman" w:hAnsi="Times New Roman"/>
          <w:sz w:val="24"/>
          <w:szCs w:val="24"/>
          <w:vertAlign w:val="subscript"/>
        </w:rPr>
        <w:t>30</w:t>
      </w:r>
      <w:r>
        <w:rPr>
          <w:rFonts w:ascii="Times New Roman" w:eastAsia="Times New Roman" w:hAnsi="Times New Roman"/>
          <w:sz w:val="24"/>
          <w:szCs w:val="24"/>
        </w:rPr>
        <w:t>Pt</w:t>
      </w:r>
      <w:r w:rsidRPr="006278D2">
        <w:rPr>
          <w:rFonts w:ascii="Times New Roman" w:eastAsia="Times New Roman" w:hAnsi="Times New Roman"/>
          <w:sz w:val="24"/>
          <w:szCs w:val="24"/>
          <w:vertAlign w:val="subscript"/>
        </w:rPr>
        <w:t>30</w:t>
      </w:r>
      <w:r>
        <w:rPr>
          <w:rFonts w:ascii="Times New Roman" w:eastAsia="Times New Roman" w:hAnsi="Times New Roman"/>
          <w:sz w:val="24"/>
          <w:szCs w:val="24"/>
        </w:rPr>
        <w:t>Bi</w:t>
      </w:r>
      <w:r w:rsidRPr="006278D2">
        <w:rPr>
          <w:rFonts w:ascii="Times New Roman" w:eastAsia="Times New Roman" w:hAnsi="Times New Roman"/>
          <w:sz w:val="24"/>
          <w:szCs w:val="24"/>
          <w:vertAlign w:val="subscript"/>
        </w:rPr>
        <w:t>10</w:t>
      </w:r>
      <w:r w:rsidRPr="006278D2">
        <w:rPr>
          <w:rFonts w:ascii="Times New Roman" w:eastAsia="Times New Roman" w:hAnsi="Times New Roman"/>
          <w:sz w:val="24"/>
          <w:szCs w:val="24"/>
        </w:rPr>
        <w:t xml:space="preserve">, </w:t>
      </w:r>
      <w:r>
        <w:rPr>
          <w:rFonts w:ascii="Times New Roman" w:eastAsia="Times New Roman" w:hAnsi="Times New Roman"/>
          <w:sz w:val="24"/>
          <w:szCs w:val="24"/>
        </w:rPr>
        <w:t>Bk</w:t>
      </w:r>
      <w:r w:rsidRPr="006278D2">
        <w:rPr>
          <w:rFonts w:ascii="Times New Roman" w:eastAsia="Times New Roman" w:hAnsi="Times New Roman"/>
          <w:sz w:val="24"/>
          <w:szCs w:val="24"/>
          <w:vertAlign w:val="subscript"/>
        </w:rPr>
        <w:t>30</w:t>
      </w:r>
      <w:r>
        <w:rPr>
          <w:rFonts w:ascii="Times New Roman" w:eastAsia="Times New Roman" w:hAnsi="Times New Roman"/>
          <w:sz w:val="24"/>
          <w:szCs w:val="24"/>
        </w:rPr>
        <w:t>C</w:t>
      </w:r>
      <w:r w:rsidRPr="006278D2">
        <w:rPr>
          <w:rFonts w:ascii="Times New Roman" w:eastAsia="Times New Roman" w:hAnsi="Times New Roman"/>
          <w:sz w:val="24"/>
          <w:szCs w:val="24"/>
          <w:vertAlign w:val="subscript"/>
        </w:rPr>
        <w:t>30</w:t>
      </w:r>
      <w:r>
        <w:rPr>
          <w:rFonts w:ascii="Times New Roman" w:eastAsia="Times New Roman" w:hAnsi="Times New Roman"/>
          <w:sz w:val="24"/>
          <w:szCs w:val="24"/>
        </w:rPr>
        <w:t>Pt</w:t>
      </w:r>
      <w:r w:rsidRPr="006278D2">
        <w:rPr>
          <w:rFonts w:ascii="Times New Roman" w:eastAsia="Times New Roman" w:hAnsi="Times New Roman"/>
          <w:sz w:val="24"/>
          <w:szCs w:val="24"/>
          <w:vertAlign w:val="subscript"/>
        </w:rPr>
        <w:t>30</w:t>
      </w:r>
      <w:r>
        <w:rPr>
          <w:rFonts w:ascii="Times New Roman" w:eastAsia="Times New Roman" w:hAnsi="Times New Roman"/>
          <w:sz w:val="24"/>
          <w:szCs w:val="24"/>
        </w:rPr>
        <w:t>Pr</w:t>
      </w:r>
      <w:r w:rsidRPr="006278D2">
        <w:rPr>
          <w:rFonts w:ascii="Times New Roman" w:eastAsia="Times New Roman" w:hAnsi="Times New Roman"/>
          <w:sz w:val="24"/>
          <w:szCs w:val="24"/>
          <w:vertAlign w:val="subscript"/>
        </w:rPr>
        <w:t>10</w:t>
      </w:r>
      <w:r w:rsidRPr="006278D2">
        <w:rPr>
          <w:rFonts w:ascii="Times New Roman" w:eastAsia="Times New Roman" w:hAnsi="Times New Roman"/>
          <w:sz w:val="24"/>
          <w:szCs w:val="24"/>
        </w:rPr>
        <w:t xml:space="preserve">, </w:t>
      </w:r>
      <w:r>
        <w:rPr>
          <w:rFonts w:ascii="Times New Roman" w:eastAsia="Times New Roman" w:hAnsi="Times New Roman"/>
          <w:sz w:val="24"/>
          <w:szCs w:val="24"/>
        </w:rPr>
        <w:t>Bk</w:t>
      </w:r>
      <w:r>
        <w:rPr>
          <w:rFonts w:ascii="Times New Roman" w:eastAsia="Times New Roman" w:hAnsi="Times New Roman"/>
          <w:sz w:val="24"/>
          <w:szCs w:val="24"/>
          <w:vertAlign w:val="subscript"/>
        </w:rPr>
        <w:t>40</w:t>
      </w:r>
      <w:r>
        <w:rPr>
          <w:rFonts w:ascii="Times New Roman" w:eastAsia="Times New Roman" w:hAnsi="Times New Roman"/>
          <w:sz w:val="24"/>
          <w:szCs w:val="24"/>
        </w:rPr>
        <w:t>C</w:t>
      </w:r>
      <w:r>
        <w:rPr>
          <w:rFonts w:ascii="Times New Roman" w:eastAsia="Times New Roman" w:hAnsi="Times New Roman"/>
          <w:sz w:val="24"/>
          <w:szCs w:val="24"/>
          <w:vertAlign w:val="subscript"/>
        </w:rPr>
        <w:t>40</w:t>
      </w:r>
      <w:r>
        <w:rPr>
          <w:rFonts w:ascii="Times New Roman" w:eastAsia="Times New Roman" w:hAnsi="Times New Roman"/>
          <w:sz w:val="24"/>
          <w:szCs w:val="24"/>
        </w:rPr>
        <w:t>Bi</w:t>
      </w:r>
      <w:r>
        <w:rPr>
          <w:rFonts w:ascii="Times New Roman" w:eastAsia="Times New Roman" w:hAnsi="Times New Roman"/>
          <w:sz w:val="24"/>
          <w:szCs w:val="24"/>
          <w:vertAlign w:val="subscript"/>
        </w:rPr>
        <w:t>2</w:t>
      </w:r>
      <w:r w:rsidRPr="006278D2">
        <w:rPr>
          <w:rFonts w:ascii="Times New Roman" w:eastAsia="Times New Roman" w:hAnsi="Times New Roman"/>
          <w:sz w:val="24"/>
          <w:szCs w:val="24"/>
          <w:vertAlign w:val="subscript"/>
        </w:rPr>
        <w:t>0</w:t>
      </w:r>
      <w:r w:rsidRPr="006278D2">
        <w:rPr>
          <w:rFonts w:ascii="Times New Roman" w:eastAsia="Times New Roman" w:hAnsi="Times New Roman"/>
          <w:sz w:val="24"/>
          <w:szCs w:val="24"/>
        </w:rPr>
        <w:t>,</w:t>
      </w:r>
      <w:r>
        <w:rPr>
          <w:rFonts w:ascii="Times New Roman" w:eastAsia="Times New Roman" w:hAnsi="Times New Roman"/>
          <w:sz w:val="24"/>
          <w:szCs w:val="24"/>
          <w:vertAlign w:val="subscript"/>
        </w:rPr>
        <w:t xml:space="preserve"> </w:t>
      </w:r>
      <w:r>
        <w:rPr>
          <w:rFonts w:ascii="Times New Roman" w:eastAsia="Times New Roman" w:hAnsi="Times New Roman"/>
          <w:sz w:val="24"/>
          <w:szCs w:val="24"/>
        </w:rPr>
        <w:t>Bk</w:t>
      </w:r>
      <w:r>
        <w:rPr>
          <w:rFonts w:ascii="Times New Roman" w:eastAsia="Times New Roman" w:hAnsi="Times New Roman"/>
          <w:sz w:val="24"/>
          <w:szCs w:val="24"/>
          <w:vertAlign w:val="subscript"/>
        </w:rPr>
        <w:t>4</w:t>
      </w:r>
      <w:r w:rsidRPr="006278D2">
        <w:rPr>
          <w:rFonts w:ascii="Times New Roman" w:eastAsia="Times New Roman" w:hAnsi="Times New Roman"/>
          <w:sz w:val="24"/>
          <w:szCs w:val="24"/>
          <w:vertAlign w:val="subscript"/>
        </w:rPr>
        <w:t>0</w:t>
      </w:r>
      <w:r>
        <w:rPr>
          <w:rFonts w:ascii="Times New Roman" w:eastAsia="Times New Roman" w:hAnsi="Times New Roman"/>
          <w:sz w:val="24"/>
          <w:szCs w:val="24"/>
        </w:rPr>
        <w:t>C</w:t>
      </w:r>
      <w:r>
        <w:rPr>
          <w:rFonts w:ascii="Times New Roman" w:eastAsia="Times New Roman" w:hAnsi="Times New Roman"/>
          <w:sz w:val="24"/>
          <w:szCs w:val="24"/>
          <w:vertAlign w:val="subscript"/>
        </w:rPr>
        <w:t>4</w:t>
      </w:r>
      <w:r w:rsidRPr="006278D2">
        <w:rPr>
          <w:rFonts w:ascii="Times New Roman" w:eastAsia="Times New Roman" w:hAnsi="Times New Roman"/>
          <w:sz w:val="24"/>
          <w:szCs w:val="24"/>
          <w:vertAlign w:val="subscript"/>
        </w:rPr>
        <w:t>0</w:t>
      </w:r>
      <w:r>
        <w:rPr>
          <w:rFonts w:ascii="Times New Roman" w:eastAsia="Times New Roman" w:hAnsi="Times New Roman"/>
          <w:sz w:val="24"/>
          <w:szCs w:val="24"/>
        </w:rPr>
        <w:t>P</w:t>
      </w:r>
      <w:r w:rsidR="00827ABD">
        <w:rPr>
          <w:rFonts w:ascii="Times New Roman" w:eastAsia="Times New Roman" w:hAnsi="Times New Roman"/>
          <w:sz w:val="24"/>
          <w:szCs w:val="24"/>
        </w:rPr>
        <w:t>t</w:t>
      </w:r>
      <w:r w:rsidR="00827ABD">
        <w:rPr>
          <w:rFonts w:ascii="Times New Roman" w:eastAsia="Times New Roman" w:hAnsi="Times New Roman"/>
          <w:sz w:val="24"/>
          <w:szCs w:val="24"/>
          <w:vertAlign w:val="subscript"/>
        </w:rPr>
        <w:t>4</w:t>
      </w:r>
      <w:r w:rsidRPr="006278D2">
        <w:rPr>
          <w:rFonts w:ascii="Times New Roman" w:eastAsia="Times New Roman" w:hAnsi="Times New Roman"/>
          <w:sz w:val="24"/>
          <w:szCs w:val="24"/>
          <w:vertAlign w:val="subscript"/>
        </w:rPr>
        <w:t>0</w:t>
      </w:r>
      <w:r w:rsidR="00827ABD">
        <w:rPr>
          <w:rFonts w:ascii="Times New Roman" w:eastAsia="Times New Roman" w:hAnsi="Times New Roman"/>
          <w:sz w:val="24"/>
          <w:szCs w:val="24"/>
        </w:rPr>
        <w:t>Bi</w:t>
      </w:r>
      <w:r w:rsidR="00827ABD" w:rsidRPr="006278D2">
        <w:rPr>
          <w:rFonts w:ascii="Times New Roman" w:eastAsia="Times New Roman" w:hAnsi="Times New Roman"/>
          <w:sz w:val="24"/>
          <w:szCs w:val="24"/>
          <w:vertAlign w:val="subscript"/>
        </w:rPr>
        <w:t>1</w:t>
      </w:r>
      <w:r w:rsidR="00827ABD">
        <w:rPr>
          <w:rFonts w:ascii="Times New Roman" w:eastAsia="Times New Roman" w:hAnsi="Times New Roman"/>
          <w:sz w:val="24"/>
          <w:szCs w:val="24"/>
          <w:vertAlign w:val="subscript"/>
        </w:rPr>
        <w:t>0</w:t>
      </w:r>
      <w:r w:rsidR="00827ABD">
        <w:rPr>
          <w:rFonts w:ascii="Times New Roman" w:eastAsia="Times New Roman" w:hAnsi="Times New Roman"/>
          <w:sz w:val="24"/>
          <w:szCs w:val="24"/>
        </w:rPr>
        <w:t>Pr</w:t>
      </w:r>
      <w:r w:rsidR="00827ABD" w:rsidRPr="006278D2">
        <w:rPr>
          <w:rFonts w:ascii="Times New Roman" w:eastAsia="Times New Roman" w:hAnsi="Times New Roman"/>
          <w:sz w:val="24"/>
          <w:szCs w:val="24"/>
          <w:vertAlign w:val="subscript"/>
        </w:rPr>
        <w:t>10</w:t>
      </w:r>
      <w:r w:rsidR="00827ABD">
        <w:rPr>
          <w:rFonts w:ascii="Times New Roman" w:eastAsia="Times New Roman" w:hAnsi="Times New Roman"/>
          <w:sz w:val="24"/>
          <w:szCs w:val="24"/>
          <w:vertAlign w:val="subscript"/>
        </w:rPr>
        <w:t>,</w:t>
      </w:r>
      <w:r>
        <w:rPr>
          <w:rFonts w:ascii="Times New Roman" w:eastAsia="Times New Roman" w:hAnsi="Times New Roman"/>
          <w:sz w:val="24"/>
          <w:szCs w:val="24"/>
          <w:vertAlign w:val="subscript"/>
        </w:rPr>
        <w:t xml:space="preserve"> and </w:t>
      </w:r>
      <w:r>
        <w:rPr>
          <w:rFonts w:ascii="Times New Roman" w:eastAsia="Times New Roman" w:hAnsi="Times New Roman"/>
          <w:sz w:val="24"/>
          <w:szCs w:val="24"/>
        </w:rPr>
        <w:t>Bk</w:t>
      </w:r>
      <w:r>
        <w:rPr>
          <w:rFonts w:ascii="Times New Roman" w:eastAsia="Times New Roman" w:hAnsi="Times New Roman"/>
          <w:sz w:val="24"/>
          <w:szCs w:val="24"/>
          <w:vertAlign w:val="subscript"/>
        </w:rPr>
        <w:t>4</w:t>
      </w:r>
      <w:r w:rsidRPr="006278D2">
        <w:rPr>
          <w:rFonts w:ascii="Times New Roman" w:eastAsia="Times New Roman" w:hAnsi="Times New Roman"/>
          <w:sz w:val="24"/>
          <w:szCs w:val="24"/>
          <w:vertAlign w:val="subscript"/>
        </w:rPr>
        <w:t>0</w:t>
      </w:r>
      <w:r>
        <w:rPr>
          <w:rFonts w:ascii="Times New Roman" w:eastAsia="Times New Roman" w:hAnsi="Times New Roman"/>
          <w:sz w:val="24"/>
          <w:szCs w:val="24"/>
        </w:rPr>
        <w:t>C</w:t>
      </w:r>
      <w:r>
        <w:rPr>
          <w:rFonts w:ascii="Times New Roman" w:eastAsia="Times New Roman" w:hAnsi="Times New Roman"/>
          <w:sz w:val="24"/>
          <w:szCs w:val="24"/>
          <w:vertAlign w:val="subscript"/>
        </w:rPr>
        <w:t>4</w:t>
      </w:r>
      <w:r w:rsidRPr="006278D2">
        <w:rPr>
          <w:rFonts w:ascii="Times New Roman" w:eastAsia="Times New Roman" w:hAnsi="Times New Roman"/>
          <w:sz w:val="24"/>
          <w:szCs w:val="24"/>
          <w:vertAlign w:val="subscript"/>
        </w:rPr>
        <w:t>0</w:t>
      </w:r>
      <w:r>
        <w:rPr>
          <w:rFonts w:ascii="Times New Roman" w:eastAsia="Times New Roman" w:hAnsi="Times New Roman"/>
          <w:sz w:val="24"/>
          <w:szCs w:val="24"/>
        </w:rPr>
        <w:t>P</w:t>
      </w:r>
      <w:r w:rsidR="00827ABD">
        <w:rPr>
          <w:rFonts w:ascii="Times New Roman" w:eastAsia="Times New Roman" w:hAnsi="Times New Roman"/>
          <w:sz w:val="24"/>
          <w:szCs w:val="24"/>
        </w:rPr>
        <w:t>t</w:t>
      </w:r>
      <w:r w:rsidR="00827ABD">
        <w:rPr>
          <w:rFonts w:ascii="Times New Roman" w:eastAsia="Times New Roman" w:hAnsi="Times New Roman"/>
          <w:sz w:val="24"/>
          <w:szCs w:val="24"/>
          <w:vertAlign w:val="subscript"/>
        </w:rPr>
        <w:t>4</w:t>
      </w:r>
      <w:r w:rsidRPr="006278D2">
        <w:rPr>
          <w:rFonts w:ascii="Times New Roman" w:eastAsia="Times New Roman" w:hAnsi="Times New Roman"/>
          <w:sz w:val="24"/>
          <w:szCs w:val="24"/>
          <w:vertAlign w:val="subscript"/>
        </w:rPr>
        <w:t>0</w:t>
      </w:r>
      <w:r>
        <w:rPr>
          <w:rFonts w:ascii="Times New Roman" w:eastAsia="Times New Roman" w:hAnsi="Times New Roman"/>
          <w:sz w:val="24"/>
          <w:szCs w:val="24"/>
          <w:vertAlign w:val="subscript"/>
        </w:rPr>
        <w:t xml:space="preserve"> </w:t>
      </w:r>
      <w:r w:rsidRPr="00EB28E2">
        <w:rPr>
          <w:rFonts w:ascii="Times New Roman" w:eastAsia="Times New Roman" w:hAnsi="Times New Roman"/>
          <w:sz w:val="24"/>
          <w:szCs w:val="24"/>
        </w:rPr>
        <w:t xml:space="preserve">(percentages indicated as subscripts). </w:t>
      </w:r>
      <w:r w:rsidRPr="00E969CE">
        <w:rPr>
          <w:rFonts w:ascii="Times New Roman" w:eastAsia="Times New Roman" w:hAnsi="Times New Roman"/>
          <w:sz w:val="24"/>
          <w:szCs w:val="24"/>
        </w:rPr>
        <w:t xml:space="preserve">Across treatments, Jewel </w:t>
      </w:r>
      <w:r>
        <w:rPr>
          <w:rFonts w:ascii="Times New Roman" w:eastAsia="Times New Roman" w:hAnsi="Times New Roman"/>
          <w:sz w:val="24"/>
          <w:szCs w:val="24"/>
        </w:rPr>
        <w:t>had</w:t>
      </w:r>
      <w:r w:rsidRPr="00E969CE">
        <w:rPr>
          <w:rFonts w:ascii="Times New Roman" w:eastAsia="Times New Roman" w:hAnsi="Times New Roman"/>
          <w:sz w:val="24"/>
          <w:szCs w:val="24"/>
        </w:rPr>
        <w:t xml:space="preserve"> a higher total plant dry weight than Jubilee, 10.92 and 8.69 (g/plant) respectively. </w:t>
      </w:r>
      <w:r>
        <w:rPr>
          <w:rFonts w:ascii="Times New Roman" w:eastAsia="Times New Roman" w:hAnsi="Times New Roman"/>
          <w:sz w:val="24"/>
          <w:szCs w:val="24"/>
        </w:rPr>
        <w:t>When plants grown in substrates Bk</w:t>
      </w:r>
      <w:r w:rsidRPr="006278D2">
        <w:rPr>
          <w:rFonts w:ascii="Times New Roman" w:eastAsia="Times New Roman" w:hAnsi="Times New Roman"/>
          <w:sz w:val="24"/>
          <w:szCs w:val="24"/>
          <w:vertAlign w:val="subscript"/>
        </w:rPr>
        <w:t>30</w:t>
      </w:r>
      <w:r>
        <w:rPr>
          <w:rFonts w:ascii="Times New Roman" w:eastAsia="Times New Roman" w:hAnsi="Times New Roman"/>
          <w:sz w:val="24"/>
          <w:szCs w:val="24"/>
        </w:rPr>
        <w:t>C</w:t>
      </w:r>
      <w:r w:rsidRPr="006278D2">
        <w:rPr>
          <w:rFonts w:ascii="Times New Roman" w:eastAsia="Times New Roman" w:hAnsi="Times New Roman"/>
          <w:sz w:val="24"/>
          <w:szCs w:val="24"/>
          <w:vertAlign w:val="subscript"/>
        </w:rPr>
        <w:t>30</w:t>
      </w:r>
      <w:r>
        <w:rPr>
          <w:rFonts w:ascii="Times New Roman" w:eastAsia="Times New Roman" w:hAnsi="Times New Roman"/>
          <w:sz w:val="24"/>
          <w:szCs w:val="24"/>
        </w:rPr>
        <w:t>Pt</w:t>
      </w:r>
      <w:r w:rsidRPr="006278D2">
        <w:rPr>
          <w:rFonts w:ascii="Times New Roman" w:eastAsia="Times New Roman" w:hAnsi="Times New Roman"/>
          <w:sz w:val="24"/>
          <w:szCs w:val="24"/>
          <w:vertAlign w:val="subscript"/>
        </w:rPr>
        <w:t>30</w:t>
      </w:r>
      <w:r>
        <w:rPr>
          <w:rFonts w:ascii="Times New Roman" w:eastAsia="Times New Roman" w:hAnsi="Times New Roman"/>
          <w:sz w:val="24"/>
          <w:szCs w:val="24"/>
        </w:rPr>
        <w:t>Bi</w:t>
      </w:r>
      <w:r w:rsidRPr="006278D2">
        <w:rPr>
          <w:rFonts w:ascii="Times New Roman" w:eastAsia="Times New Roman" w:hAnsi="Times New Roman"/>
          <w:sz w:val="24"/>
          <w:szCs w:val="24"/>
          <w:vertAlign w:val="subscript"/>
        </w:rPr>
        <w:t>10</w:t>
      </w:r>
      <w:r w:rsidRPr="006278D2">
        <w:rPr>
          <w:rFonts w:ascii="Times New Roman" w:eastAsia="Times New Roman" w:hAnsi="Times New Roman"/>
          <w:sz w:val="24"/>
          <w:szCs w:val="24"/>
        </w:rPr>
        <w:t xml:space="preserve"> </w:t>
      </w:r>
      <w:r>
        <w:rPr>
          <w:rFonts w:ascii="Times New Roman" w:eastAsia="Times New Roman" w:hAnsi="Times New Roman"/>
          <w:sz w:val="24"/>
          <w:szCs w:val="24"/>
        </w:rPr>
        <w:t>and Bk</w:t>
      </w:r>
      <w:r w:rsidRPr="006278D2">
        <w:rPr>
          <w:rFonts w:ascii="Times New Roman" w:eastAsia="Times New Roman" w:hAnsi="Times New Roman"/>
          <w:sz w:val="24"/>
          <w:szCs w:val="24"/>
          <w:vertAlign w:val="subscript"/>
        </w:rPr>
        <w:t>30</w:t>
      </w:r>
      <w:r>
        <w:rPr>
          <w:rFonts w:ascii="Times New Roman" w:eastAsia="Times New Roman" w:hAnsi="Times New Roman"/>
          <w:sz w:val="24"/>
          <w:szCs w:val="24"/>
        </w:rPr>
        <w:t>C</w:t>
      </w:r>
      <w:r w:rsidRPr="006278D2">
        <w:rPr>
          <w:rFonts w:ascii="Times New Roman" w:eastAsia="Times New Roman" w:hAnsi="Times New Roman"/>
          <w:sz w:val="24"/>
          <w:szCs w:val="24"/>
          <w:vertAlign w:val="subscript"/>
        </w:rPr>
        <w:t>30</w:t>
      </w:r>
      <w:r>
        <w:rPr>
          <w:rFonts w:ascii="Times New Roman" w:eastAsia="Times New Roman" w:hAnsi="Times New Roman"/>
          <w:sz w:val="24"/>
          <w:szCs w:val="24"/>
        </w:rPr>
        <w:t>Pt</w:t>
      </w:r>
      <w:r w:rsidRPr="006278D2">
        <w:rPr>
          <w:rFonts w:ascii="Times New Roman" w:eastAsia="Times New Roman" w:hAnsi="Times New Roman"/>
          <w:sz w:val="24"/>
          <w:szCs w:val="24"/>
          <w:vertAlign w:val="subscript"/>
        </w:rPr>
        <w:t>30</w:t>
      </w:r>
      <w:r>
        <w:rPr>
          <w:rFonts w:ascii="Times New Roman" w:eastAsia="Times New Roman" w:hAnsi="Times New Roman"/>
          <w:sz w:val="24"/>
          <w:szCs w:val="24"/>
        </w:rPr>
        <w:t>Pr</w:t>
      </w:r>
      <w:r w:rsidRPr="006278D2">
        <w:rPr>
          <w:rFonts w:ascii="Times New Roman" w:eastAsia="Times New Roman" w:hAnsi="Times New Roman"/>
          <w:sz w:val="24"/>
          <w:szCs w:val="24"/>
          <w:vertAlign w:val="subscript"/>
        </w:rPr>
        <w:t>10</w:t>
      </w:r>
      <w:r>
        <w:rPr>
          <w:rFonts w:ascii="Times New Roman" w:eastAsia="Times New Roman" w:hAnsi="Times New Roman"/>
          <w:sz w:val="24"/>
          <w:szCs w:val="24"/>
        </w:rPr>
        <w:t xml:space="preserve"> </w:t>
      </w:r>
      <w:r w:rsidRPr="00E969CE">
        <w:rPr>
          <w:rFonts w:ascii="Times New Roman" w:eastAsia="Times New Roman" w:hAnsi="Times New Roman"/>
          <w:sz w:val="24"/>
          <w:szCs w:val="24"/>
        </w:rPr>
        <w:t xml:space="preserve">were on average 60% larger than plants grown </w:t>
      </w:r>
      <w:r>
        <w:rPr>
          <w:rFonts w:ascii="Times New Roman" w:eastAsia="Times New Roman" w:hAnsi="Times New Roman"/>
          <w:sz w:val="24"/>
          <w:szCs w:val="24"/>
        </w:rPr>
        <w:t xml:space="preserve">in treatments </w:t>
      </w:r>
      <w:r w:rsidRPr="00E969CE">
        <w:rPr>
          <w:rFonts w:ascii="Times New Roman" w:eastAsia="Times New Roman" w:hAnsi="Times New Roman"/>
          <w:sz w:val="24"/>
          <w:szCs w:val="24"/>
        </w:rPr>
        <w:t xml:space="preserve">without peat moss. </w:t>
      </w:r>
      <w:r>
        <w:rPr>
          <w:rFonts w:ascii="Times New Roman" w:eastAsia="Times New Roman" w:hAnsi="Times New Roman"/>
          <w:sz w:val="24"/>
          <w:szCs w:val="24"/>
        </w:rPr>
        <w:t xml:space="preserve">The low pH of the peat moss (4.5) likely buffered the high pH of the compost (7.5), allowing for greater plant growth during the first half of the study. The soil solution pH of all treatments was well above the pH recommended for blueberry at the end of the study, an effect of the compost, which was a component of all substrate treatments. Soil solution analysis across weeks indicate that the biochar did not increase the pH more than the perlite, further proof that compost was the primarily driver of pH increase. The </w:t>
      </w:r>
      <w:r w:rsidR="00893C40">
        <w:rPr>
          <w:rFonts w:ascii="Times New Roman" w:eastAsia="Times New Roman" w:hAnsi="Times New Roman"/>
          <w:sz w:val="24"/>
          <w:szCs w:val="24"/>
        </w:rPr>
        <w:t>L</w:t>
      </w:r>
      <w:r>
        <w:rPr>
          <w:rFonts w:ascii="Times New Roman" w:eastAsia="Times New Roman" w:hAnsi="Times New Roman"/>
          <w:sz w:val="24"/>
          <w:szCs w:val="24"/>
        </w:rPr>
        <w:t>eaf</w:t>
      </w:r>
      <w:r w:rsidRPr="00E969CE">
        <w:rPr>
          <w:rFonts w:ascii="Times New Roman" w:eastAsia="Times New Roman" w:hAnsi="Times New Roman"/>
          <w:sz w:val="24"/>
          <w:szCs w:val="24"/>
        </w:rPr>
        <w:t xml:space="preserve"> nutrient analysis revealed that all plants were low in nitrogen and phosphorous, likely a result of the higher pH values. </w:t>
      </w:r>
      <w:r>
        <w:rPr>
          <w:rFonts w:ascii="Times New Roman" w:eastAsia="Times New Roman" w:hAnsi="Times New Roman"/>
          <w:sz w:val="24"/>
          <w:szCs w:val="24"/>
        </w:rPr>
        <w:t>N</w:t>
      </w:r>
      <w:r w:rsidRPr="00E969CE">
        <w:rPr>
          <w:rFonts w:ascii="Times New Roman" w:eastAsia="Times New Roman" w:hAnsi="Times New Roman"/>
          <w:sz w:val="24"/>
          <w:szCs w:val="24"/>
        </w:rPr>
        <w:t xml:space="preserve">o effect </w:t>
      </w:r>
      <w:r>
        <w:rPr>
          <w:rFonts w:ascii="Times New Roman" w:eastAsia="Times New Roman" w:hAnsi="Times New Roman"/>
          <w:sz w:val="24"/>
          <w:szCs w:val="24"/>
        </w:rPr>
        <w:t xml:space="preserve">was found </w:t>
      </w:r>
      <w:r w:rsidRPr="00E969CE">
        <w:rPr>
          <w:rFonts w:ascii="Times New Roman" w:eastAsia="Times New Roman" w:hAnsi="Times New Roman"/>
          <w:sz w:val="24"/>
          <w:szCs w:val="24"/>
        </w:rPr>
        <w:t xml:space="preserve">on mycorrhizal root colonization. Overall, biochar </w:t>
      </w:r>
      <w:r>
        <w:rPr>
          <w:rFonts w:ascii="Times New Roman" w:eastAsia="Times New Roman" w:hAnsi="Times New Roman"/>
          <w:sz w:val="24"/>
          <w:szCs w:val="24"/>
        </w:rPr>
        <w:t>has potential</w:t>
      </w:r>
      <w:r w:rsidRPr="00E969CE">
        <w:rPr>
          <w:rFonts w:ascii="Times New Roman" w:eastAsia="Times New Roman" w:hAnsi="Times New Roman"/>
          <w:sz w:val="24"/>
          <w:szCs w:val="24"/>
        </w:rPr>
        <w:t xml:space="preserve"> to be a suitable replacement for perlite</w:t>
      </w:r>
      <w:r>
        <w:rPr>
          <w:rFonts w:ascii="Times New Roman" w:eastAsia="Times New Roman" w:hAnsi="Times New Roman"/>
          <w:sz w:val="24"/>
          <w:szCs w:val="24"/>
        </w:rPr>
        <w:t xml:space="preserve"> </w:t>
      </w:r>
      <w:r w:rsidRPr="00E969CE">
        <w:rPr>
          <w:rFonts w:ascii="Times New Roman" w:eastAsia="Times New Roman" w:hAnsi="Times New Roman"/>
          <w:sz w:val="24"/>
          <w:szCs w:val="24"/>
        </w:rPr>
        <w:t xml:space="preserve">in containerized blueberry production when </w:t>
      </w:r>
      <w:r>
        <w:rPr>
          <w:rFonts w:ascii="Times New Roman" w:eastAsia="Times New Roman" w:hAnsi="Times New Roman"/>
          <w:sz w:val="24"/>
          <w:szCs w:val="24"/>
        </w:rPr>
        <w:t>paired</w:t>
      </w:r>
      <w:r w:rsidRPr="00E969CE">
        <w:rPr>
          <w:rFonts w:ascii="Times New Roman" w:eastAsia="Times New Roman" w:hAnsi="Times New Roman"/>
          <w:sz w:val="24"/>
          <w:szCs w:val="24"/>
        </w:rPr>
        <w:t xml:space="preserve"> with</w:t>
      </w:r>
      <w:r>
        <w:rPr>
          <w:rFonts w:ascii="Times New Roman" w:eastAsia="Times New Roman" w:hAnsi="Times New Roman"/>
          <w:sz w:val="24"/>
          <w:szCs w:val="24"/>
        </w:rPr>
        <w:t xml:space="preserve"> low pH</w:t>
      </w:r>
      <w:r w:rsidRPr="00E969CE">
        <w:rPr>
          <w:rFonts w:ascii="Times New Roman" w:eastAsia="Times New Roman" w:hAnsi="Times New Roman"/>
          <w:sz w:val="24"/>
          <w:szCs w:val="24"/>
        </w:rPr>
        <w:t xml:space="preserve"> substrate materials such as</w:t>
      </w:r>
      <w:r>
        <w:rPr>
          <w:rFonts w:ascii="Times New Roman" w:eastAsia="Times New Roman" w:hAnsi="Times New Roman"/>
          <w:sz w:val="24"/>
          <w:szCs w:val="24"/>
        </w:rPr>
        <w:t xml:space="preserve"> peat moss. In this study, green waste compost did not appear to be a suitable component of substrates for containerized blueberry production.</w:t>
      </w:r>
    </w:p>
    <w:bookmarkEnd w:id="2"/>
    <w:p w:rsidR="00005DE6" w:rsidRDefault="00005DE6" w:rsidP="000C7FD3">
      <w:pPr>
        <w:spacing w:after="0" w:line="240" w:lineRule="auto"/>
        <w:textAlignment w:val="baseline"/>
        <w:rPr>
          <w:rFonts w:ascii="Times New Roman" w:eastAsia="Times New Roman" w:hAnsi="Times New Roman"/>
          <w:i/>
          <w:iCs/>
          <w:sz w:val="24"/>
          <w:szCs w:val="24"/>
        </w:rPr>
      </w:pPr>
    </w:p>
    <w:p w:rsidR="000C7FD3" w:rsidRPr="004F13B6" w:rsidRDefault="000C7FD3" w:rsidP="000C7FD3">
      <w:pPr>
        <w:spacing w:after="0" w:line="240" w:lineRule="auto"/>
        <w:ind w:firstLine="720"/>
        <w:textAlignment w:val="baseline"/>
        <w:rPr>
          <w:rFonts w:ascii="Segoe UI" w:eastAsia="Times New Roman" w:hAnsi="Segoe UI" w:cs="Segoe UI"/>
          <w:sz w:val="18"/>
          <w:szCs w:val="18"/>
        </w:rPr>
      </w:pPr>
      <w:r>
        <w:rPr>
          <w:rFonts w:ascii="Times New Roman" w:eastAsia="Times New Roman" w:hAnsi="Times New Roman"/>
          <w:i/>
          <w:iCs/>
          <w:sz w:val="24"/>
          <w:szCs w:val="24"/>
        </w:rPr>
        <w:t xml:space="preserve">Keywords: </w:t>
      </w:r>
      <w:r w:rsidRPr="00B9249E">
        <w:rPr>
          <w:rFonts w:ascii="Times New Roman" w:eastAsia="Times New Roman" w:hAnsi="Times New Roman"/>
          <w:sz w:val="24"/>
          <w:szCs w:val="24"/>
        </w:rPr>
        <w:t>perlite, soil amendments, </w:t>
      </w:r>
      <w:r w:rsidR="00B9249E" w:rsidRPr="00B9249E">
        <w:rPr>
          <w:rFonts w:ascii="Times New Roman" w:hAnsi="Times New Roman"/>
          <w:i/>
          <w:sz w:val="24"/>
          <w:szCs w:val="24"/>
        </w:rPr>
        <w:t xml:space="preserve">Vaccinium </w:t>
      </w:r>
      <w:proofErr w:type="spellStart"/>
      <w:r w:rsidR="00B9249E" w:rsidRPr="00B9249E">
        <w:rPr>
          <w:rFonts w:ascii="Times New Roman" w:hAnsi="Times New Roman"/>
          <w:i/>
          <w:sz w:val="24"/>
          <w:szCs w:val="24"/>
        </w:rPr>
        <w:t>darrowii</w:t>
      </w:r>
      <w:proofErr w:type="spellEnd"/>
      <w:r w:rsidRPr="00B9249E">
        <w:rPr>
          <w:rFonts w:ascii="Times New Roman" w:eastAsia="Times New Roman" w:hAnsi="Times New Roman"/>
          <w:sz w:val="24"/>
          <w:szCs w:val="24"/>
        </w:rPr>
        <w:t xml:space="preserve">, indoor farming, plant </w:t>
      </w:r>
      <w:r w:rsidRPr="00B9249E">
        <w:rPr>
          <w:rFonts w:ascii="Times New Roman" w:eastAsia="Times New Roman" w:hAnsi="Times New Roman"/>
          <w:sz w:val="24"/>
          <w:szCs w:val="24"/>
        </w:rPr>
        <w:br/>
        <w:t xml:space="preserve">                              nutrition</w:t>
      </w:r>
      <w:r w:rsidRPr="004F13B6">
        <w:rPr>
          <w:rFonts w:ascii="Times New Roman" w:eastAsia="Times New Roman" w:hAnsi="Times New Roman"/>
          <w:sz w:val="24"/>
          <w:szCs w:val="24"/>
        </w:rPr>
        <w:t> </w:t>
      </w:r>
    </w:p>
    <w:p w:rsidR="000C7FD3" w:rsidRDefault="000C7FD3"/>
    <w:sectPr w:rsidR="000C7F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70E"/>
    <w:rsid w:val="00005DE6"/>
    <w:rsid w:val="000C7FD3"/>
    <w:rsid w:val="00185FE5"/>
    <w:rsid w:val="00346298"/>
    <w:rsid w:val="004E244A"/>
    <w:rsid w:val="005B2650"/>
    <w:rsid w:val="005F0141"/>
    <w:rsid w:val="00827ABD"/>
    <w:rsid w:val="00893C40"/>
    <w:rsid w:val="008946BC"/>
    <w:rsid w:val="00A12192"/>
    <w:rsid w:val="00AB2F40"/>
    <w:rsid w:val="00B9249E"/>
    <w:rsid w:val="00BB1479"/>
    <w:rsid w:val="00BE5FEE"/>
    <w:rsid w:val="00C7470E"/>
    <w:rsid w:val="00DF2C0C"/>
    <w:rsid w:val="00FC1D67"/>
    <w:rsid w:val="00FF4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1E11A"/>
  <w15:chartTrackingRefBased/>
  <w15:docId w15:val="{5A4923C3-899D-49B3-AA45-A19D1E2D7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470E"/>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077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804</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North Carolina at Pembroke</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A. Hagevik</dc:creator>
  <cp:keywords/>
  <dc:description/>
  <cp:lastModifiedBy>Rita A. Hagevik</cp:lastModifiedBy>
  <cp:revision>14</cp:revision>
  <dcterms:created xsi:type="dcterms:W3CDTF">2020-11-11T19:33:00Z</dcterms:created>
  <dcterms:modified xsi:type="dcterms:W3CDTF">2020-11-18T23:00:00Z</dcterms:modified>
</cp:coreProperties>
</file>