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5D" w:rsidRPr="000B315D" w:rsidRDefault="000B315D" w:rsidP="000B315D">
      <w:pPr>
        <w:pBdr>
          <w:bottom w:val="single" w:sz="8" w:space="4" w:color="4F81BD"/>
        </w:pBdr>
        <w:spacing w:after="300"/>
        <w:contextualSpacing/>
        <w:rPr>
          <w:rFonts w:ascii="Cambria" w:hAnsi="Cambria"/>
          <w:color w:val="17365D"/>
          <w:spacing w:val="5"/>
          <w:kern w:val="28"/>
          <w:sz w:val="44"/>
          <w:szCs w:val="44"/>
        </w:rPr>
      </w:pPr>
      <w:bookmarkStart w:id="0" w:name="_GoBack"/>
      <w:bookmarkEnd w:id="0"/>
      <w:r w:rsidRPr="000B315D">
        <w:rPr>
          <w:rFonts w:ascii="Cambria" w:hAnsi="Cambria"/>
          <w:color w:val="17365D"/>
          <w:spacing w:val="5"/>
          <w:kern w:val="28"/>
          <w:sz w:val="44"/>
          <w:szCs w:val="44"/>
        </w:rPr>
        <w:t>Program Advisement Check sheets</w:t>
      </w:r>
    </w:p>
    <w:p w:rsidR="000B315D" w:rsidRDefault="000B315D" w:rsidP="000B315D">
      <w:pPr>
        <w:pStyle w:val="NormalWeb"/>
        <w:rPr>
          <w:b/>
        </w:rPr>
      </w:pPr>
      <w:r>
        <w:rPr>
          <w:b/>
          <w:bCs/>
          <w:sz w:val="28"/>
          <w:szCs w:val="28"/>
        </w:rPr>
        <w:t xml:space="preserve">     </w:t>
      </w:r>
      <w:r w:rsidR="000F144C" w:rsidRPr="000F144C">
        <w:rPr>
          <w:b/>
        </w:rPr>
        <w:t>MASTER OF ARTS IN TEACHING WITH ART SPECIALIZATION</w:t>
      </w:r>
    </w:p>
    <w:p w:rsidR="000F144C" w:rsidRPr="000F144C" w:rsidRDefault="000B315D" w:rsidP="000B315D">
      <w:pPr>
        <w:pStyle w:val="NormalWeb"/>
        <w:rPr>
          <w:b/>
        </w:rPr>
      </w:pPr>
      <w:r>
        <w:rPr>
          <w:b/>
        </w:rPr>
        <w:t xml:space="preserve">                          </w:t>
      </w:r>
      <w:r w:rsidR="000F144C" w:rsidRPr="000F144C">
        <w:rPr>
          <w:rFonts w:ascii="Calibri" w:hAnsi="Calibri"/>
          <w:b/>
        </w:rPr>
        <w:t>Graduate Art Education Director:  Ann Horton-Lopez</w:t>
      </w:r>
    </w:p>
    <w:tbl>
      <w:tblPr>
        <w:tblW w:w="93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920"/>
        <w:gridCol w:w="1440"/>
      </w:tblGrid>
      <w:tr w:rsidR="000F144C" w:rsidRPr="000F144C" w:rsidTr="000F144C">
        <w:trPr>
          <w:jc w:val="center"/>
        </w:trPr>
        <w:tc>
          <w:tcPr>
            <w:tcW w:w="7920" w:type="dxa"/>
            <w:tcBorders>
              <w:top w:val="single" w:sz="4" w:space="0" w:color="auto"/>
              <w:left w:val="single" w:sz="4" w:space="0" w:color="auto"/>
              <w:bottom w:val="single" w:sz="6" w:space="0" w:color="auto"/>
              <w:right w:val="single" w:sz="6" w:space="0" w:color="auto"/>
            </w:tcBorders>
            <w:shd w:val="clear" w:color="auto" w:fill="000000"/>
            <w:hideMark/>
          </w:tcPr>
          <w:p w:rsidR="000F144C" w:rsidRPr="000F144C" w:rsidRDefault="000F144C" w:rsidP="000F144C">
            <w:pPr>
              <w:tabs>
                <w:tab w:val="left" w:pos="360"/>
                <w:tab w:val="left" w:pos="720"/>
                <w:tab w:val="right" w:pos="6960"/>
              </w:tabs>
              <w:spacing w:before="100" w:beforeAutospacing="1" w:after="100" w:afterAutospacing="1"/>
            </w:pPr>
            <w:r w:rsidRPr="000F144C">
              <w:rPr>
                <w:rFonts w:ascii="Calibri" w:hAnsi="Calibri"/>
                <w:b/>
                <w:bCs/>
                <w:color w:val="FFCC00"/>
              </w:rPr>
              <w:t>Requirements for Master of Arts in Teaching with Art Specialization</w:t>
            </w:r>
          </w:p>
        </w:tc>
        <w:tc>
          <w:tcPr>
            <w:tcW w:w="1440" w:type="dxa"/>
            <w:tcBorders>
              <w:top w:val="single" w:sz="4" w:space="0" w:color="auto"/>
              <w:left w:val="single" w:sz="6" w:space="0" w:color="auto"/>
              <w:bottom w:val="single" w:sz="6" w:space="0" w:color="auto"/>
              <w:right w:val="single" w:sz="4" w:space="0" w:color="auto"/>
            </w:tcBorders>
            <w:shd w:val="clear" w:color="auto" w:fill="000000"/>
            <w:hideMark/>
          </w:tcPr>
          <w:p w:rsidR="000F144C" w:rsidRPr="000F144C" w:rsidRDefault="000F144C" w:rsidP="000F144C">
            <w:pPr>
              <w:tabs>
                <w:tab w:val="left" w:pos="360"/>
                <w:tab w:val="left" w:pos="720"/>
                <w:tab w:val="right" w:pos="6960"/>
              </w:tabs>
              <w:spacing w:before="100" w:beforeAutospacing="1" w:after="100" w:afterAutospacing="1"/>
              <w:jc w:val="right"/>
            </w:pPr>
            <w:r w:rsidRPr="000F144C">
              <w:rPr>
                <w:rFonts w:ascii="Calibri" w:hAnsi="Calibri"/>
                <w:b/>
                <w:bCs/>
                <w:color w:val="FFCC00"/>
              </w:rPr>
              <w:t>Sem. Hrs.</w:t>
            </w:r>
          </w:p>
        </w:tc>
      </w:tr>
      <w:tr w:rsidR="000F144C" w:rsidRPr="000B315D" w:rsidTr="000F144C">
        <w:trPr>
          <w:jc w:val="center"/>
        </w:trPr>
        <w:tc>
          <w:tcPr>
            <w:tcW w:w="7920" w:type="dxa"/>
            <w:tcBorders>
              <w:top w:val="single" w:sz="6" w:space="0" w:color="auto"/>
              <w:left w:val="single" w:sz="4" w:space="0" w:color="auto"/>
              <w:bottom w:val="single" w:sz="6" w:space="0" w:color="auto"/>
              <w:right w:val="single" w:sz="6" w:space="0" w:color="auto"/>
            </w:tcBorders>
            <w:hideMark/>
          </w:tcPr>
          <w:p w:rsidR="000F144C" w:rsidRPr="000B315D" w:rsidRDefault="000F144C" w:rsidP="000F144C">
            <w:pPr>
              <w:tabs>
                <w:tab w:val="left" w:pos="360"/>
                <w:tab w:val="left" w:pos="720"/>
                <w:tab w:val="right" w:pos="6960"/>
              </w:tabs>
              <w:spacing w:before="100" w:beforeAutospacing="1" w:after="100" w:afterAutospacing="1"/>
            </w:pPr>
            <w:r w:rsidRPr="000B315D">
              <w:rPr>
                <w:b/>
                <w:bCs/>
                <w:sz w:val="22"/>
                <w:szCs w:val="22"/>
              </w:rPr>
              <w:t xml:space="preserve">Professional Core </w:t>
            </w:r>
            <w:r w:rsidRPr="000B315D">
              <w:rPr>
                <w:bCs/>
                <w:sz w:val="22"/>
                <w:szCs w:val="22"/>
              </w:rPr>
              <w:t>(Phase I)</w:t>
            </w:r>
          </w:p>
          <w:p w:rsidR="000F144C" w:rsidRPr="000B315D" w:rsidRDefault="000F144C" w:rsidP="000F144C">
            <w:pPr>
              <w:tabs>
                <w:tab w:val="left" w:pos="360"/>
                <w:tab w:val="left" w:pos="720"/>
                <w:tab w:val="right" w:pos="6960"/>
              </w:tabs>
              <w:spacing w:before="100" w:beforeAutospacing="1" w:after="100" w:afterAutospacing="1"/>
              <w:ind w:left="288"/>
            </w:pPr>
            <w:r w:rsidRPr="000B315D">
              <w:rPr>
                <w:bCs/>
                <w:sz w:val="22"/>
                <w:szCs w:val="22"/>
              </w:rPr>
              <w:t>EDN 5040 Basic Tenets of Education (3)</w:t>
            </w:r>
          </w:p>
          <w:p w:rsidR="000F144C" w:rsidRPr="000B315D" w:rsidRDefault="000F144C" w:rsidP="000F144C">
            <w:pPr>
              <w:tabs>
                <w:tab w:val="left" w:pos="360"/>
                <w:tab w:val="left" w:pos="720"/>
                <w:tab w:val="right" w:pos="6960"/>
              </w:tabs>
              <w:spacing w:before="100" w:beforeAutospacing="1" w:after="100" w:afterAutospacing="1"/>
              <w:ind w:left="288"/>
            </w:pPr>
            <w:r w:rsidRPr="000B315D">
              <w:rPr>
                <w:sz w:val="22"/>
                <w:szCs w:val="22"/>
              </w:rPr>
              <w:t>EDN 5120 Advanced Study of Exceptionality in Children (3)</w:t>
            </w:r>
          </w:p>
          <w:p w:rsidR="000F144C" w:rsidRPr="000B315D" w:rsidRDefault="000F144C" w:rsidP="000F144C">
            <w:pPr>
              <w:tabs>
                <w:tab w:val="left" w:pos="360"/>
                <w:tab w:val="left" w:pos="720"/>
                <w:tab w:val="right" w:pos="6960"/>
              </w:tabs>
              <w:spacing w:before="100" w:beforeAutospacing="1" w:after="100" w:afterAutospacing="1"/>
              <w:ind w:left="288"/>
            </w:pPr>
            <w:r w:rsidRPr="000B315D">
              <w:rPr>
                <w:bCs/>
                <w:sz w:val="22"/>
                <w:szCs w:val="22"/>
              </w:rPr>
              <w:t>EDN 5440 Survey of Educational Research (3)</w:t>
            </w:r>
          </w:p>
          <w:p w:rsidR="000F144C" w:rsidRPr="000B315D" w:rsidRDefault="000F144C" w:rsidP="000F144C">
            <w:pPr>
              <w:tabs>
                <w:tab w:val="left" w:pos="360"/>
                <w:tab w:val="left" w:pos="720"/>
                <w:tab w:val="right" w:pos="6960"/>
              </w:tabs>
              <w:spacing w:before="100" w:beforeAutospacing="1" w:after="100" w:afterAutospacing="1"/>
              <w:ind w:left="576" w:hanging="288"/>
            </w:pPr>
            <w:r w:rsidRPr="000B315D">
              <w:rPr>
                <w:bCs/>
                <w:sz w:val="22"/>
                <w:szCs w:val="22"/>
              </w:rPr>
              <w:t>EDN 5450 Introduction to Curriculum Design and Best Practices (3)</w:t>
            </w:r>
          </w:p>
          <w:p w:rsidR="000F144C" w:rsidRPr="000B315D" w:rsidRDefault="000F144C" w:rsidP="000F144C">
            <w:pPr>
              <w:tabs>
                <w:tab w:val="left" w:pos="360"/>
                <w:tab w:val="left" w:pos="720"/>
                <w:tab w:val="right" w:pos="6960"/>
              </w:tabs>
              <w:spacing w:before="100" w:beforeAutospacing="1" w:after="100" w:afterAutospacing="1"/>
              <w:ind w:left="288"/>
            </w:pPr>
            <w:r w:rsidRPr="000B315D">
              <w:rPr>
                <w:bCs/>
                <w:sz w:val="22"/>
                <w:szCs w:val="22"/>
              </w:rPr>
              <w:t>EDN 5460 Field Experience (0)</w:t>
            </w:r>
          </w:p>
        </w:tc>
        <w:tc>
          <w:tcPr>
            <w:tcW w:w="1440" w:type="dxa"/>
            <w:tcBorders>
              <w:top w:val="single" w:sz="6" w:space="0" w:color="auto"/>
              <w:left w:val="single" w:sz="6" w:space="0" w:color="auto"/>
              <w:bottom w:val="single" w:sz="6" w:space="0" w:color="auto"/>
              <w:right w:val="single" w:sz="4" w:space="0" w:color="auto"/>
            </w:tcBorders>
            <w:hideMark/>
          </w:tcPr>
          <w:p w:rsidR="000F144C" w:rsidRPr="000B315D" w:rsidRDefault="000F144C" w:rsidP="000F144C">
            <w:pPr>
              <w:tabs>
                <w:tab w:val="left" w:pos="360"/>
                <w:tab w:val="left" w:pos="720"/>
                <w:tab w:val="right" w:pos="6960"/>
              </w:tabs>
              <w:spacing w:before="100" w:beforeAutospacing="1" w:after="100" w:afterAutospacing="1"/>
              <w:jc w:val="right"/>
            </w:pPr>
            <w:r w:rsidRPr="000B315D">
              <w:rPr>
                <w:b/>
                <w:bCs/>
                <w:sz w:val="22"/>
                <w:szCs w:val="22"/>
              </w:rPr>
              <w:t>12</w:t>
            </w:r>
          </w:p>
        </w:tc>
      </w:tr>
      <w:tr w:rsidR="000F144C" w:rsidRPr="000B315D" w:rsidTr="000F144C">
        <w:trPr>
          <w:jc w:val="center"/>
        </w:trPr>
        <w:tc>
          <w:tcPr>
            <w:tcW w:w="7920" w:type="dxa"/>
            <w:tcBorders>
              <w:top w:val="single" w:sz="6" w:space="0" w:color="auto"/>
              <w:left w:val="single" w:sz="4" w:space="0" w:color="auto"/>
              <w:bottom w:val="single" w:sz="6" w:space="0" w:color="auto"/>
              <w:right w:val="single" w:sz="6" w:space="0" w:color="auto"/>
            </w:tcBorders>
            <w:hideMark/>
          </w:tcPr>
          <w:p w:rsidR="000F144C" w:rsidRPr="000B315D" w:rsidRDefault="000F144C" w:rsidP="000F144C">
            <w:pPr>
              <w:tabs>
                <w:tab w:val="left" w:pos="360"/>
                <w:tab w:val="left" w:pos="720"/>
                <w:tab w:val="right" w:pos="6960"/>
              </w:tabs>
              <w:spacing w:before="100" w:beforeAutospacing="1" w:after="100" w:afterAutospacing="1"/>
            </w:pPr>
            <w:r w:rsidRPr="000B315D">
              <w:rPr>
                <w:b/>
                <w:bCs/>
                <w:sz w:val="22"/>
                <w:szCs w:val="22"/>
              </w:rPr>
              <w:t xml:space="preserve">Professional Development* </w:t>
            </w:r>
            <w:r w:rsidRPr="000B315D">
              <w:rPr>
                <w:bCs/>
                <w:sz w:val="22"/>
                <w:szCs w:val="22"/>
              </w:rPr>
              <w:t>(Phase I)</w:t>
            </w:r>
          </w:p>
          <w:p w:rsidR="000F144C" w:rsidRPr="000B315D" w:rsidRDefault="000F144C" w:rsidP="000F144C">
            <w:pPr>
              <w:tabs>
                <w:tab w:val="left" w:pos="360"/>
                <w:tab w:val="left" w:pos="720"/>
                <w:tab w:val="right" w:pos="6960"/>
              </w:tabs>
              <w:spacing w:before="100" w:beforeAutospacing="1" w:after="100" w:afterAutospacing="1"/>
              <w:ind w:left="288"/>
            </w:pPr>
            <w:r w:rsidRPr="000B315D">
              <w:rPr>
                <w:sz w:val="22"/>
                <w:szCs w:val="22"/>
              </w:rPr>
              <w:t>ART 5810 Internship in K-12 Art Education</w:t>
            </w:r>
          </w:p>
        </w:tc>
        <w:tc>
          <w:tcPr>
            <w:tcW w:w="1440" w:type="dxa"/>
            <w:tcBorders>
              <w:top w:val="single" w:sz="6" w:space="0" w:color="auto"/>
              <w:left w:val="single" w:sz="6" w:space="0" w:color="auto"/>
              <w:bottom w:val="single" w:sz="6" w:space="0" w:color="auto"/>
              <w:right w:val="single" w:sz="4" w:space="0" w:color="auto"/>
            </w:tcBorders>
            <w:hideMark/>
          </w:tcPr>
          <w:p w:rsidR="000F144C" w:rsidRPr="000B315D" w:rsidRDefault="000F144C" w:rsidP="000F144C">
            <w:pPr>
              <w:tabs>
                <w:tab w:val="left" w:pos="360"/>
                <w:tab w:val="left" w:pos="720"/>
                <w:tab w:val="right" w:pos="6960"/>
              </w:tabs>
              <w:spacing w:before="100" w:beforeAutospacing="1" w:after="100" w:afterAutospacing="1"/>
              <w:jc w:val="right"/>
            </w:pPr>
            <w:r w:rsidRPr="000B315D">
              <w:rPr>
                <w:b/>
                <w:bCs/>
                <w:sz w:val="22"/>
                <w:szCs w:val="22"/>
              </w:rPr>
              <w:t>3</w:t>
            </w:r>
          </w:p>
        </w:tc>
      </w:tr>
      <w:tr w:rsidR="000F144C" w:rsidRPr="000B315D" w:rsidTr="000F144C">
        <w:trPr>
          <w:jc w:val="center"/>
        </w:trPr>
        <w:tc>
          <w:tcPr>
            <w:tcW w:w="7920" w:type="dxa"/>
            <w:tcBorders>
              <w:top w:val="single" w:sz="6" w:space="0" w:color="auto"/>
              <w:left w:val="single" w:sz="4" w:space="0" w:color="auto"/>
              <w:bottom w:val="single" w:sz="6" w:space="0" w:color="auto"/>
              <w:right w:val="single" w:sz="6" w:space="0" w:color="auto"/>
            </w:tcBorders>
            <w:hideMark/>
          </w:tcPr>
          <w:p w:rsidR="000F144C" w:rsidRPr="000B315D" w:rsidRDefault="000F144C" w:rsidP="000F144C">
            <w:pPr>
              <w:tabs>
                <w:tab w:val="left" w:pos="360"/>
                <w:tab w:val="left" w:pos="720"/>
                <w:tab w:val="right" w:pos="6960"/>
              </w:tabs>
              <w:spacing w:before="100" w:beforeAutospacing="1" w:after="100" w:afterAutospacing="1"/>
            </w:pPr>
            <w:r w:rsidRPr="000B315D">
              <w:rPr>
                <w:b/>
                <w:bCs/>
                <w:sz w:val="22"/>
                <w:szCs w:val="22"/>
              </w:rPr>
              <w:t xml:space="preserve">Pedagogical Expertise </w:t>
            </w:r>
            <w:r w:rsidRPr="000B315D">
              <w:rPr>
                <w:bCs/>
                <w:sz w:val="22"/>
                <w:szCs w:val="22"/>
              </w:rPr>
              <w:t>(Phase I)</w:t>
            </w:r>
          </w:p>
          <w:p w:rsidR="000F144C" w:rsidRPr="000B315D" w:rsidRDefault="000F144C" w:rsidP="000F144C">
            <w:pPr>
              <w:tabs>
                <w:tab w:val="left" w:pos="360"/>
                <w:tab w:val="left" w:pos="720"/>
                <w:tab w:val="right" w:pos="6960"/>
              </w:tabs>
              <w:spacing w:before="100" w:beforeAutospacing="1" w:after="100" w:afterAutospacing="1"/>
              <w:ind w:left="576" w:hanging="288"/>
            </w:pPr>
            <w:r w:rsidRPr="000B315D">
              <w:rPr>
                <w:bCs/>
                <w:sz w:val="22"/>
                <w:szCs w:val="22"/>
              </w:rPr>
              <w:t>**ART 5060 Applied Art Education Pedagogy and Production (3)</w:t>
            </w:r>
          </w:p>
          <w:p w:rsidR="000F144C" w:rsidRPr="000B315D" w:rsidRDefault="000F144C" w:rsidP="000F144C">
            <w:pPr>
              <w:tabs>
                <w:tab w:val="left" w:pos="360"/>
                <w:tab w:val="left" w:pos="720"/>
                <w:tab w:val="right" w:pos="6960"/>
              </w:tabs>
              <w:spacing w:before="100" w:beforeAutospacing="1" w:after="100" w:afterAutospacing="1"/>
              <w:ind w:left="288"/>
            </w:pPr>
            <w:r w:rsidRPr="000B315D">
              <w:rPr>
                <w:bCs/>
                <w:sz w:val="22"/>
                <w:szCs w:val="22"/>
              </w:rPr>
              <w:t>ART 5090 Leadership and Survey of Art Education (3)</w:t>
            </w:r>
            <w:r w:rsidR="00C1002E" w:rsidRPr="000B315D">
              <w:rPr>
                <w:bCs/>
                <w:sz w:val="22"/>
                <w:szCs w:val="22"/>
              </w:rPr>
              <w:t xml:space="preserve"> </w:t>
            </w:r>
          </w:p>
          <w:p w:rsidR="000F144C" w:rsidRPr="000B315D" w:rsidRDefault="000F144C" w:rsidP="009E34C6">
            <w:pPr>
              <w:tabs>
                <w:tab w:val="left" w:pos="360"/>
                <w:tab w:val="left" w:pos="720"/>
                <w:tab w:val="right" w:pos="6960"/>
              </w:tabs>
              <w:spacing w:before="100" w:beforeAutospacing="1" w:after="100" w:afterAutospacing="1"/>
              <w:ind w:left="576" w:hanging="288"/>
            </w:pPr>
            <w:r w:rsidRPr="000B315D">
              <w:rPr>
                <w:bCs/>
                <w:sz w:val="22"/>
                <w:szCs w:val="22"/>
              </w:rPr>
              <w:t>ARTS 5120 Special Topics in Studio (3; repeatable)</w:t>
            </w:r>
            <w:r w:rsidR="00C1002E" w:rsidRPr="000B315D">
              <w:rPr>
                <w:bCs/>
                <w:sz w:val="22"/>
                <w:szCs w:val="22"/>
              </w:rPr>
              <w:t xml:space="preserve"> </w:t>
            </w:r>
          </w:p>
        </w:tc>
        <w:tc>
          <w:tcPr>
            <w:tcW w:w="1440" w:type="dxa"/>
            <w:tcBorders>
              <w:top w:val="single" w:sz="6" w:space="0" w:color="auto"/>
              <w:left w:val="single" w:sz="6" w:space="0" w:color="auto"/>
              <w:bottom w:val="single" w:sz="6" w:space="0" w:color="auto"/>
              <w:right w:val="single" w:sz="4" w:space="0" w:color="auto"/>
            </w:tcBorders>
            <w:hideMark/>
          </w:tcPr>
          <w:p w:rsidR="000F144C" w:rsidRPr="000B315D" w:rsidRDefault="009759B1" w:rsidP="000F144C">
            <w:pPr>
              <w:tabs>
                <w:tab w:val="left" w:pos="360"/>
                <w:tab w:val="left" w:pos="720"/>
                <w:tab w:val="right" w:pos="6960"/>
              </w:tabs>
              <w:spacing w:before="100" w:beforeAutospacing="1" w:after="100" w:afterAutospacing="1"/>
              <w:jc w:val="right"/>
            </w:pPr>
            <w:r>
              <w:t>9</w:t>
            </w:r>
          </w:p>
        </w:tc>
      </w:tr>
      <w:tr w:rsidR="000F144C" w:rsidRPr="000B315D" w:rsidTr="000F144C">
        <w:trPr>
          <w:jc w:val="center"/>
        </w:trPr>
        <w:tc>
          <w:tcPr>
            <w:tcW w:w="7920" w:type="dxa"/>
            <w:tcBorders>
              <w:top w:val="single" w:sz="6" w:space="0" w:color="auto"/>
              <w:left w:val="single" w:sz="4" w:space="0" w:color="auto"/>
              <w:bottom w:val="single" w:sz="6" w:space="0" w:color="auto"/>
              <w:right w:val="single" w:sz="6" w:space="0" w:color="auto"/>
            </w:tcBorders>
            <w:hideMark/>
          </w:tcPr>
          <w:p w:rsidR="000F144C" w:rsidRPr="000B315D" w:rsidRDefault="000F144C" w:rsidP="000F144C">
            <w:pPr>
              <w:tabs>
                <w:tab w:val="left" w:pos="360"/>
                <w:tab w:val="left" w:pos="720"/>
                <w:tab w:val="right" w:pos="6960"/>
              </w:tabs>
              <w:spacing w:before="100" w:beforeAutospacing="1" w:after="100" w:afterAutospacing="1"/>
            </w:pPr>
            <w:r w:rsidRPr="000B315D">
              <w:rPr>
                <w:b/>
                <w:bCs/>
                <w:sz w:val="22"/>
                <w:szCs w:val="22"/>
              </w:rPr>
              <w:t xml:space="preserve">Art Specialty Area </w:t>
            </w:r>
            <w:r w:rsidRPr="000B315D">
              <w:rPr>
                <w:bCs/>
                <w:sz w:val="22"/>
                <w:szCs w:val="22"/>
              </w:rPr>
              <w:t>(Phase II)</w:t>
            </w:r>
            <w:r w:rsidRPr="000B315D">
              <w:rPr>
                <w:b/>
                <w:bCs/>
                <w:sz w:val="22"/>
                <w:szCs w:val="22"/>
              </w:rPr>
              <w:t xml:space="preserve"> </w:t>
            </w:r>
          </w:p>
          <w:p w:rsidR="009759B1" w:rsidRDefault="009759B1" w:rsidP="009759B1">
            <w:pPr>
              <w:tabs>
                <w:tab w:val="left" w:pos="360"/>
                <w:tab w:val="left" w:pos="720"/>
                <w:tab w:val="right" w:pos="6960"/>
              </w:tabs>
              <w:spacing w:before="100" w:beforeAutospacing="1" w:after="100" w:afterAutospacing="1"/>
              <w:ind w:left="576" w:hanging="288"/>
              <w:rPr>
                <w:bCs/>
                <w:color w:val="FF0000"/>
              </w:rPr>
            </w:pPr>
            <w:r w:rsidRPr="000B315D">
              <w:rPr>
                <w:bCs/>
                <w:sz w:val="22"/>
                <w:szCs w:val="22"/>
              </w:rPr>
              <w:t>ART 5080 Art Production in the Elementary and Secondary Schools (3</w:t>
            </w:r>
            <w:r w:rsidRPr="000B315D">
              <w:rPr>
                <w:bCs/>
                <w:color w:val="FF0000"/>
                <w:sz w:val="22"/>
                <w:szCs w:val="22"/>
              </w:rPr>
              <w:t>)</w:t>
            </w:r>
          </w:p>
          <w:p w:rsidR="009759B1" w:rsidRPr="000B315D" w:rsidRDefault="009759B1" w:rsidP="009759B1">
            <w:pPr>
              <w:tabs>
                <w:tab w:val="left" w:pos="360"/>
                <w:tab w:val="left" w:pos="720"/>
                <w:tab w:val="right" w:pos="6960"/>
              </w:tabs>
              <w:spacing w:before="100" w:beforeAutospacing="1" w:after="100" w:afterAutospacing="1"/>
              <w:ind w:left="576" w:hanging="288"/>
            </w:pPr>
            <w:r w:rsidRPr="000B315D">
              <w:rPr>
                <w:bCs/>
                <w:color w:val="FF0000"/>
                <w:sz w:val="22"/>
                <w:szCs w:val="22"/>
              </w:rPr>
              <w:t xml:space="preserve"> </w:t>
            </w:r>
            <w:r w:rsidRPr="000B315D">
              <w:rPr>
                <w:bCs/>
                <w:sz w:val="22"/>
                <w:szCs w:val="22"/>
              </w:rPr>
              <w:t>ART 5110 Art History Methods and Content (3)</w:t>
            </w:r>
          </w:p>
          <w:p w:rsidR="000F144C" w:rsidRPr="000B315D" w:rsidRDefault="000F144C" w:rsidP="000F144C">
            <w:pPr>
              <w:tabs>
                <w:tab w:val="left" w:pos="360"/>
                <w:tab w:val="left" w:pos="720"/>
                <w:tab w:val="right" w:pos="6960"/>
              </w:tabs>
              <w:spacing w:before="100" w:beforeAutospacing="1" w:after="100" w:afterAutospacing="1"/>
              <w:ind w:left="288"/>
            </w:pPr>
            <w:r w:rsidRPr="000B315D">
              <w:rPr>
                <w:sz w:val="22"/>
                <w:szCs w:val="22"/>
              </w:rPr>
              <w:t>ART 5020 Curricula in Art Education (3)</w:t>
            </w:r>
          </w:p>
          <w:p w:rsidR="000F144C" w:rsidRPr="000B315D" w:rsidRDefault="000F144C" w:rsidP="000F144C">
            <w:pPr>
              <w:tabs>
                <w:tab w:val="left" w:pos="360"/>
                <w:tab w:val="left" w:pos="720"/>
                <w:tab w:val="right" w:pos="6960"/>
              </w:tabs>
              <w:spacing w:before="100" w:beforeAutospacing="1" w:after="100" w:afterAutospacing="1"/>
              <w:ind w:left="288"/>
            </w:pPr>
            <w:r w:rsidRPr="000B315D">
              <w:rPr>
                <w:sz w:val="22"/>
                <w:szCs w:val="22"/>
              </w:rPr>
              <w:t xml:space="preserve">ART 5030 Research in Art Education (3)  </w:t>
            </w:r>
          </w:p>
          <w:p w:rsidR="00F53F3F" w:rsidRDefault="000F144C" w:rsidP="00F53F3F">
            <w:pPr>
              <w:tabs>
                <w:tab w:val="left" w:pos="360"/>
                <w:tab w:val="left" w:pos="720"/>
                <w:tab w:val="right" w:pos="6960"/>
              </w:tabs>
              <w:spacing w:before="100" w:beforeAutospacing="1" w:after="100" w:afterAutospacing="1"/>
              <w:ind w:left="576" w:hanging="288"/>
            </w:pPr>
            <w:r w:rsidRPr="000B315D">
              <w:rPr>
                <w:sz w:val="22"/>
                <w:szCs w:val="22"/>
              </w:rPr>
              <w:t>ART 5040 History and Philosophy of Art Education (3)</w:t>
            </w:r>
            <w:r w:rsidR="000F61EB" w:rsidRPr="000B315D">
              <w:rPr>
                <w:sz w:val="22"/>
                <w:szCs w:val="22"/>
              </w:rPr>
              <w:t xml:space="preserve"> </w:t>
            </w:r>
          </w:p>
          <w:p w:rsidR="000F144C" w:rsidRPr="000B315D" w:rsidRDefault="000F144C" w:rsidP="00F53F3F">
            <w:pPr>
              <w:tabs>
                <w:tab w:val="left" w:pos="360"/>
                <w:tab w:val="left" w:pos="720"/>
                <w:tab w:val="right" w:pos="6960"/>
              </w:tabs>
              <w:spacing w:before="100" w:beforeAutospacing="1" w:after="100" w:afterAutospacing="1"/>
              <w:ind w:left="576" w:hanging="288"/>
            </w:pPr>
          </w:p>
        </w:tc>
        <w:tc>
          <w:tcPr>
            <w:tcW w:w="1440" w:type="dxa"/>
            <w:tcBorders>
              <w:top w:val="single" w:sz="6" w:space="0" w:color="auto"/>
              <w:left w:val="single" w:sz="6" w:space="0" w:color="auto"/>
              <w:bottom w:val="single" w:sz="6" w:space="0" w:color="auto"/>
              <w:right w:val="single" w:sz="4" w:space="0" w:color="auto"/>
            </w:tcBorders>
            <w:hideMark/>
          </w:tcPr>
          <w:p w:rsidR="000F144C" w:rsidRPr="000B315D" w:rsidRDefault="000F144C" w:rsidP="009759B1">
            <w:pPr>
              <w:tabs>
                <w:tab w:val="left" w:pos="360"/>
                <w:tab w:val="left" w:pos="720"/>
                <w:tab w:val="right" w:pos="6960"/>
              </w:tabs>
              <w:spacing w:before="100" w:beforeAutospacing="1" w:after="100" w:afterAutospacing="1"/>
              <w:jc w:val="right"/>
            </w:pPr>
            <w:r w:rsidRPr="000B315D">
              <w:rPr>
                <w:b/>
                <w:bCs/>
                <w:sz w:val="22"/>
                <w:szCs w:val="22"/>
              </w:rPr>
              <w:t>1</w:t>
            </w:r>
            <w:r w:rsidR="009759B1">
              <w:rPr>
                <w:b/>
                <w:bCs/>
                <w:sz w:val="22"/>
                <w:szCs w:val="22"/>
              </w:rPr>
              <w:t>5</w:t>
            </w:r>
          </w:p>
        </w:tc>
      </w:tr>
      <w:tr w:rsidR="000F144C" w:rsidRPr="000B315D" w:rsidTr="000F144C">
        <w:trPr>
          <w:jc w:val="center"/>
        </w:trPr>
        <w:tc>
          <w:tcPr>
            <w:tcW w:w="7920" w:type="dxa"/>
            <w:tcBorders>
              <w:top w:val="single" w:sz="6" w:space="0" w:color="auto"/>
              <w:left w:val="single" w:sz="4" w:space="0" w:color="auto"/>
              <w:bottom w:val="single" w:sz="4" w:space="0" w:color="auto"/>
              <w:right w:val="single" w:sz="6" w:space="0" w:color="auto"/>
            </w:tcBorders>
            <w:hideMark/>
          </w:tcPr>
          <w:p w:rsidR="000F144C" w:rsidRPr="000B315D" w:rsidRDefault="000F144C" w:rsidP="000F144C">
            <w:pPr>
              <w:tabs>
                <w:tab w:val="left" w:pos="360"/>
                <w:tab w:val="left" w:pos="720"/>
                <w:tab w:val="right" w:pos="6960"/>
              </w:tabs>
              <w:spacing w:before="100" w:beforeAutospacing="1" w:after="100" w:afterAutospacing="1"/>
            </w:pPr>
            <w:r w:rsidRPr="000B315D">
              <w:rPr>
                <w:b/>
                <w:bCs/>
                <w:sz w:val="22"/>
                <w:szCs w:val="22"/>
              </w:rPr>
              <w:t> </w:t>
            </w:r>
          </w:p>
        </w:tc>
        <w:tc>
          <w:tcPr>
            <w:tcW w:w="1440" w:type="dxa"/>
            <w:tcBorders>
              <w:top w:val="single" w:sz="6" w:space="0" w:color="auto"/>
              <w:left w:val="single" w:sz="6" w:space="0" w:color="auto"/>
              <w:bottom w:val="single" w:sz="4" w:space="0" w:color="auto"/>
              <w:right w:val="single" w:sz="4" w:space="0" w:color="auto"/>
            </w:tcBorders>
            <w:hideMark/>
          </w:tcPr>
          <w:p w:rsidR="000F144C" w:rsidRPr="000B315D" w:rsidRDefault="000F144C" w:rsidP="000F144C">
            <w:pPr>
              <w:tabs>
                <w:tab w:val="left" w:pos="360"/>
                <w:tab w:val="left" w:pos="720"/>
                <w:tab w:val="right" w:pos="6960"/>
              </w:tabs>
              <w:spacing w:before="100" w:beforeAutospacing="1" w:after="100" w:afterAutospacing="1"/>
              <w:jc w:val="right"/>
            </w:pPr>
            <w:r w:rsidRPr="000B315D">
              <w:rPr>
                <w:b/>
                <w:bCs/>
                <w:sz w:val="22"/>
                <w:szCs w:val="22"/>
              </w:rPr>
              <w:t>Total: 36-39*</w:t>
            </w:r>
          </w:p>
        </w:tc>
      </w:tr>
    </w:tbl>
    <w:p w:rsidR="000F144C" w:rsidRPr="000B315D" w:rsidRDefault="000F144C" w:rsidP="000F144C">
      <w:pPr>
        <w:tabs>
          <w:tab w:val="left" w:pos="360"/>
          <w:tab w:val="left" w:pos="720"/>
          <w:tab w:val="right" w:pos="6960"/>
        </w:tabs>
        <w:spacing w:before="100" w:beforeAutospacing="1" w:after="100" w:afterAutospacing="1"/>
        <w:ind w:left="288"/>
      </w:pPr>
      <w:r w:rsidRPr="000B315D">
        <w:rPr>
          <w:rFonts w:ascii="Calibri" w:hAnsi="Calibri"/>
        </w:rPr>
        <w:t>*</w:t>
      </w:r>
      <w:r w:rsidRPr="000B315D">
        <w:rPr>
          <w:rFonts w:ascii="Calibri" w:hAnsi="Calibri"/>
          <w:bCs/>
        </w:rPr>
        <w:t>See M.A.T. Handbook for Internship policies.</w:t>
      </w:r>
    </w:p>
    <w:p w:rsidR="000F144C" w:rsidRPr="000F144C" w:rsidRDefault="000F144C" w:rsidP="000F144C">
      <w:pPr>
        <w:spacing w:before="100" w:beforeAutospacing="1" w:after="100" w:afterAutospacing="1"/>
        <w:ind w:left="432" w:hanging="144"/>
      </w:pPr>
      <w:r w:rsidRPr="000B315D">
        <w:rPr>
          <w:rFonts w:ascii="Calibri" w:hAnsi="Calibri"/>
        </w:rPr>
        <w:lastRenderedPageBreak/>
        <w:t>**Required if the student has not provided appropriate documentation of successful public school teaching experience or course work in studio or art education methods to meet the competencies for the A license.</w:t>
      </w:r>
    </w:p>
    <w:p w:rsidR="00306982" w:rsidRDefault="000F144C" w:rsidP="000B315D">
      <w:pPr>
        <w:spacing w:before="100" w:beforeAutospacing="1" w:after="100" w:afterAutospacing="1"/>
        <w:ind w:right="720"/>
        <w:rPr>
          <w:color w:val="000000"/>
        </w:rPr>
      </w:pPr>
      <w:r w:rsidRPr="000F144C">
        <w:rPr>
          <w:rFonts w:ascii="Calibri" w:hAnsi="Calibri"/>
        </w:rPr>
        <w:t> </w:t>
      </w:r>
      <w:r w:rsidR="00306982" w:rsidRPr="00306982">
        <w:rPr>
          <w:color w:val="000000"/>
        </w:rPr>
        <w:t>*Note that candidates may waive the requirement for Art 5810: Internship in Art Education</w:t>
      </w:r>
      <w:r w:rsidR="000B315D">
        <w:rPr>
          <w:color w:val="000000"/>
        </w:rPr>
        <w:t xml:space="preserve"> </w:t>
      </w:r>
      <w:r w:rsidR="00306982" w:rsidRPr="00306982">
        <w:rPr>
          <w:color w:val="000000"/>
        </w:rPr>
        <w:t>successfully completing a year of full-time teaching under a lateral-entry license in Art Education</w:t>
      </w:r>
      <w:r>
        <w:rPr>
          <w:color w:val="000000"/>
        </w:rPr>
        <w:t xml:space="preserve"> </w:t>
      </w:r>
      <w:r w:rsidR="00306982" w:rsidRPr="00306982">
        <w:rPr>
          <w:color w:val="000000"/>
        </w:rPr>
        <w:t>k-12.</w:t>
      </w:r>
    </w:p>
    <w:p w:rsidR="00306982" w:rsidRPr="00306982" w:rsidRDefault="00306982" w:rsidP="00306982">
      <w:r>
        <w:rPr>
          <w:color w:val="000000"/>
        </w:rPr>
        <w:t xml:space="preserve">You will receive you’re </w:t>
      </w:r>
      <w:r w:rsidR="00AB4105">
        <w:rPr>
          <w:color w:val="000000"/>
        </w:rPr>
        <w:t>“</w:t>
      </w:r>
      <w:r>
        <w:rPr>
          <w:color w:val="000000"/>
        </w:rPr>
        <w:t>M</w:t>
      </w:r>
      <w:r w:rsidR="00AB4105">
        <w:rPr>
          <w:color w:val="000000"/>
        </w:rPr>
        <w:t>”</w:t>
      </w:r>
      <w:r>
        <w:rPr>
          <w:color w:val="000000"/>
        </w:rPr>
        <w:t xml:space="preserve"> license when you complete Phase II. </w:t>
      </w:r>
    </w:p>
    <w:p w:rsidR="00306982" w:rsidRPr="00306982" w:rsidRDefault="00306982" w:rsidP="00306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D9715A" w:rsidRDefault="00306982">
      <w:r>
        <w:t>You take your comprehensive exam the last semester of your program.</w:t>
      </w:r>
    </w:p>
    <w:p w:rsidR="000F144C" w:rsidRDefault="000F144C"/>
    <w:p w:rsidR="00306982" w:rsidRDefault="00306982">
      <w:r>
        <w:t>During student teaching you will develop a Teacher Candidate Work Sample (unit plan).</w:t>
      </w:r>
    </w:p>
    <w:p w:rsidR="000F144C" w:rsidRDefault="000F144C"/>
    <w:p w:rsidR="000F144C" w:rsidRDefault="00306982">
      <w:r>
        <w:t xml:space="preserve">Evidence to meet the NC teaching standards will need to be dropped on Taskstream each semester when you finish the item(s). </w:t>
      </w:r>
    </w:p>
    <w:p w:rsidR="00306982" w:rsidRDefault="00643016">
      <w:r>
        <w:t>Reflections for all courses are</w:t>
      </w:r>
      <w:r w:rsidR="00306982">
        <w:t xml:space="preserve"> due the</w:t>
      </w:r>
      <w:r>
        <w:t xml:space="preserve"> last semester of your program.</w:t>
      </w:r>
    </w:p>
    <w:p w:rsidR="00836FA8" w:rsidRDefault="00836FA8"/>
    <w:p w:rsidR="00836FA8" w:rsidRPr="00836FA8" w:rsidRDefault="00836FA8" w:rsidP="00836FA8">
      <w:pPr>
        <w:shd w:val="clear" w:color="auto" w:fill="000000"/>
        <w:spacing w:after="120"/>
        <w:rPr>
          <w:b/>
          <w:bCs/>
          <w:color w:val="000000"/>
        </w:rPr>
      </w:pPr>
      <w:r w:rsidRPr="00836FA8">
        <w:rPr>
          <w:rFonts w:ascii="Calibri" w:hAnsi="Calibri"/>
          <w:b/>
          <w:bCs/>
          <w:color w:val="FFCC00"/>
          <w:shd w:val="clear" w:color="auto" w:fill="000000"/>
        </w:rPr>
        <w:t>COURSES</w:t>
      </w:r>
    </w:p>
    <w:p w:rsidR="00836FA8" w:rsidRPr="00836FA8" w:rsidRDefault="00836FA8" w:rsidP="00836FA8">
      <w:pPr>
        <w:rPr>
          <w:b/>
          <w:bCs/>
          <w:color w:val="000000"/>
          <w:sz w:val="27"/>
          <w:szCs w:val="27"/>
        </w:rPr>
      </w:pPr>
      <w:r w:rsidRPr="00836FA8">
        <w:rPr>
          <w:rFonts w:ascii="Calibri" w:hAnsi="Calibri"/>
          <w:b/>
          <w:bCs/>
          <w:color w:val="000000"/>
          <w:sz w:val="27"/>
          <w:szCs w:val="27"/>
        </w:rPr>
        <w:t>ART DEPARTMENT (ART)</w:t>
      </w:r>
    </w:p>
    <w:p w:rsidR="00836FA8" w:rsidRPr="00836FA8" w:rsidRDefault="00836FA8" w:rsidP="00836FA8">
      <w:pPr>
        <w:rPr>
          <w:b/>
          <w:bCs/>
          <w:color w:val="000000"/>
          <w:sz w:val="22"/>
          <w:szCs w:val="22"/>
        </w:rPr>
      </w:pPr>
      <w:r w:rsidRPr="00836FA8">
        <w:rPr>
          <w:rFonts w:ascii="Calibri" w:hAnsi="Calibri"/>
          <w:b/>
          <w:bCs/>
          <w:color w:val="000000"/>
          <w:sz w:val="22"/>
          <w:szCs w:val="22"/>
        </w:rPr>
        <w:t>ART 5020. Curricula in Art Education (3)</w:t>
      </w:r>
    </w:p>
    <w:p w:rsidR="00836FA8" w:rsidRPr="00836FA8" w:rsidRDefault="00836FA8" w:rsidP="00836FA8">
      <w:pPr>
        <w:spacing w:after="120"/>
        <w:jc w:val="both"/>
        <w:rPr>
          <w:color w:val="000000"/>
          <w:sz w:val="22"/>
          <w:szCs w:val="22"/>
        </w:rPr>
      </w:pPr>
      <w:r w:rsidRPr="00836FA8">
        <w:rPr>
          <w:rFonts w:ascii="Calibri" w:hAnsi="Calibri"/>
          <w:color w:val="000000"/>
          <w:sz w:val="22"/>
          <w:szCs w:val="22"/>
        </w:rPr>
        <w:t> </w:t>
      </w:r>
      <w:proofErr w:type="gramStart"/>
      <w:r w:rsidRPr="00836FA8">
        <w:rPr>
          <w:rFonts w:ascii="Calibri" w:hAnsi="Calibri"/>
          <w:color w:val="000000"/>
          <w:sz w:val="22"/>
          <w:szCs w:val="22"/>
        </w:rPr>
        <w:t>Advanced study of art education curricula, with option for elementary or secondary emphasis.</w:t>
      </w:r>
      <w:proofErr w:type="gramEnd"/>
      <w:r w:rsidRPr="00836FA8">
        <w:rPr>
          <w:rFonts w:ascii="Calibri" w:hAnsi="Calibri"/>
          <w:color w:val="000000"/>
          <w:sz w:val="22"/>
          <w:szCs w:val="22"/>
        </w:rPr>
        <w:t>  </w:t>
      </w:r>
      <w:proofErr w:type="gramStart"/>
      <w:r w:rsidRPr="00836FA8">
        <w:rPr>
          <w:rFonts w:ascii="Calibri" w:hAnsi="Calibri"/>
          <w:color w:val="000000"/>
          <w:sz w:val="22"/>
          <w:szCs w:val="22"/>
        </w:rPr>
        <w:t>Study of exemplary art programs, standards of quality, curriculum models, curriculum design and construction, concomitant instructional methods, and evaluation.</w:t>
      </w:r>
      <w:proofErr w:type="gramEnd"/>
      <w:r w:rsidRPr="00836FA8">
        <w:rPr>
          <w:rFonts w:ascii="Calibri" w:hAnsi="Calibri"/>
          <w:color w:val="000000"/>
          <w:sz w:val="22"/>
          <w:szCs w:val="22"/>
        </w:rPr>
        <w:t>  Prerequisite: graduate standing.</w:t>
      </w:r>
    </w:p>
    <w:p w:rsidR="00836FA8" w:rsidRPr="00836FA8" w:rsidRDefault="00836FA8" w:rsidP="00836FA8">
      <w:pPr>
        <w:rPr>
          <w:b/>
          <w:bCs/>
          <w:color w:val="000000"/>
          <w:sz w:val="22"/>
          <w:szCs w:val="22"/>
        </w:rPr>
      </w:pPr>
      <w:r w:rsidRPr="00836FA8">
        <w:rPr>
          <w:rFonts w:ascii="Calibri" w:hAnsi="Calibri"/>
          <w:b/>
          <w:bCs/>
          <w:color w:val="000000"/>
          <w:sz w:val="22"/>
          <w:szCs w:val="22"/>
        </w:rPr>
        <w:t>ART 5030.  Research in Art Education (3)</w:t>
      </w:r>
    </w:p>
    <w:p w:rsidR="00836FA8" w:rsidRPr="00836FA8" w:rsidRDefault="00836FA8" w:rsidP="00836FA8">
      <w:pPr>
        <w:spacing w:after="120"/>
        <w:jc w:val="both"/>
        <w:rPr>
          <w:color w:val="000000"/>
          <w:sz w:val="22"/>
          <w:szCs w:val="22"/>
        </w:rPr>
      </w:pPr>
      <w:r w:rsidRPr="00836FA8">
        <w:rPr>
          <w:rFonts w:ascii="Calibri" w:hAnsi="Calibri"/>
          <w:color w:val="000000"/>
          <w:sz w:val="22"/>
          <w:szCs w:val="22"/>
        </w:rPr>
        <w:t>Studies of appropriate research methodologies, research and selected readings in art education. Includes</w:t>
      </w:r>
      <w:proofErr w:type="gramStart"/>
      <w:r w:rsidRPr="00836FA8">
        <w:rPr>
          <w:rFonts w:ascii="Calibri" w:hAnsi="Calibri"/>
          <w:color w:val="000000"/>
          <w:sz w:val="22"/>
          <w:szCs w:val="22"/>
        </w:rPr>
        <w:t>  research</w:t>
      </w:r>
      <w:proofErr w:type="gramEnd"/>
      <w:r w:rsidRPr="00836FA8">
        <w:rPr>
          <w:rFonts w:ascii="Calibri" w:hAnsi="Calibri"/>
          <w:color w:val="000000"/>
          <w:sz w:val="22"/>
          <w:szCs w:val="22"/>
        </w:rPr>
        <w:t xml:space="preserve"> procedures in art education, recent studies, areas needing further research, Prerequisite: graduate standing.</w:t>
      </w:r>
    </w:p>
    <w:p w:rsidR="00836FA8" w:rsidRPr="00836FA8" w:rsidRDefault="00836FA8" w:rsidP="00836FA8">
      <w:pPr>
        <w:rPr>
          <w:b/>
          <w:bCs/>
          <w:color w:val="000000"/>
          <w:sz w:val="22"/>
          <w:szCs w:val="22"/>
        </w:rPr>
      </w:pPr>
      <w:r w:rsidRPr="00836FA8">
        <w:rPr>
          <w:rFonts w:ascii="Calibri" w:hAnsi="Calibri"/>
          <w:b/>
          <w:bCs/>
          <w:color w:val="000000"/>
          <w:sz w:val="22"/>
          <w:szCs w:val="22"/>
        </w:rPr>
        <w:t>ART 5040.  History and Philosophy of Art Education (3)</w:t>
      </w:r>
    </w:p>
    <w:p w:rsidR="00836FA8" w:rsidRPr="00836FA8" w:rsidRDefault="00836FA8" w:rsidP="00836FA8">
      <w:pPr>
        <w:spacing w:after="120"/>
        <w:jc w:val="both"/>
        <w:rPr>
          <w:color w:val="000000"/>
          <w:sz w:val="22"/>
          <w:szCs w:val="22"/>
        </w:rPr>
      </w:pPr>
      <w:proofErr w:type="gramStart"/>
      <w:r w:rsidRPr="00836FA8">
        <w:rPr>
          <w:rFonts w:ascii="Calibri" w:hAnsi="Calibri"/>
          <w:color w:val="000000"/>
          <w:sz w:val="22"/>
          <w:szCs w:val="22"/>
        </w:rPr>
        <w:t>Critical analysis of objectives, current theories, and texts that are shaped by the visual arts, history, philosophy, aesthetics, the behavioral sciences, and recent trends in art education.</w:t>
      </w:r>
      <w:proofErr w:type="gramEnd"/>
      <w:r w:rsidRPr="00836FA8">
        <w:rPr>
          <w:rFonts w:ascii="Calibri" w:hAnsi="Calibri"/>
          <w:color w:val="000000"/>
          <w:sz w:val="22"/>
          <w:szCs w:val="22"/>
        </w:rPr>
        <w:t xml:space="preserve"> The sociopolitical currents that have shaped art education, and visual art itself, are examined. Prerequisite: graduate standing</w:t>
      </w:r>
    </w:p>
    <w:p w:rsidR="00836FA8" w:rsidRPr="00836FA8" w:rsidRDefault="00836FA8" w:rsidP="00836FA8">
      <w:pPr>
        <w:rPr>
          <w:b/>
          <w:bCs/>
          <w:color w:val="000000"/>
          <w:sz w:val="22"/>
          <w:szCs w:val="22"/>
        </w:rPr>
      </w:pPr>
      <w:r w:rsidRPr="00836FA8">
        <w:rPr>
          <w:rFonts w:ascii="Calibri" w:hAnsi="Calibri"/>
          <w:b/>
          <w:bCs/>
          <w:color w:val="000000"/>
          <w:sz w:val="22"/>
          <w:szCs w:val="22"/>
        </w:rPr>
        <w:t>ART 5060. Applied Art Education Pedagogy and Production (3) </w:t>
      </w:r>
    </w:p>
    <w:p w:rsidR="00836FA8" w:rsidRPr="00836FA8" w:rsidRDefault="00836FA8" w:rsidP="00836FA8">
      <w:pPr>
        <w:spacing w:after="120"/>
        <w:jc w:val="both"/>
        <w:rPr>
          <w:color w:val="000000"/>
          <w:sz w:val="22"/>
          <w:szCs w:val="22"/>
        </w:rPr>
      </w:pPr>
      <w:r w:rsidRPr="00836FA8">
        <w:rPr>
          <w:rFonts w:ascii="Calibri" w:hAnsi="Calibri"/>
          <w:color w:val="000000"/>
          <w:sz w:val="22"/>
          <w:szCs w:val="22"/>
        </w:rPr>
        <w:t>This course is designed to fulfill MAT: Art Education graduate students’ individual and specific needs, especially in studio(s) and/or method(s) courses.</w:t>
      </w:r>
    </w:p>
    <w:p w:rsidR="00836FA8" w:rsidRPr="00836FA8" w:rsidRDefault="00836FA8" w:rsidP="00836FA8">
      <w:pPr>
        <w:rPr>
          <w:b/>
          <w:bCs/>
          <w:color w:val="000000"/>
          <w:sz w:val="22"/>
          <w:szCs w:val="22"/>
        </w:rPr>
      </w:pPr>
      <w:r w:rsidRPr="00836FA8">
        <w:rPr>
          <w:rFonts w:ascii="Calibri" w:hAnsi="Calibri"/>
          <w:b/>
          <w:bCs/>
          <w:color w:val="000000"/>
          <w:sz w:val="22"/>
          <w:szCs w:val="22"/>
        </w:rPr>
        <w:t>ART 5080. Art Production in the Elementary and Secondary Schools (</w:t>
      </w:r>
      <w:proofErr w:type="gramStart"/>
      <w:r w:rsidRPr="00836FA8">
        <w:rPr>
          <w:rFonts w:ascii="Calibri" w:hAnsi="Calibri"/>
          <w:b/>
          <w:bCs/>
          <w:color w:val="000000"/>
          <w:sz w:val="22"/>
          <w:szCs w:val="22"/>
        </w:rPr>
        <w:t>3</w:t>
      </w:r>
      <w:proofErr w:type="gramEnd"/>
      <w:r w:rsidRPr="00836FA8">
        <w:rPr>
          <w:rFonts w:ascii="Calibri" w:hAnsi="Calibri"/>
          <w:b/>
          <w:bCs/>
          <w:color w:val="000000"/>
          <w:sz w:val="22"/>
          <w:szCs w:val="22"/>
        </w:rPr>
        <w:t>) </w:t>
      </w:r>
    </w:p>
    <w:p w:rsidR="00836FA8" w:rsidRPr="00836FA8" w:rsidRDefault="00836FA8" w:rsidP="00836FA8">
      <w:pPr>
        <w:spacing w:after="120"/>
        <w:jc w:val="both"/>
        <w:rPr>
          <w:color w:val="000000"/>
          <w:sz w:val="22"/>
          <w:szCs w:val="22"/>
        </w:rPr>
      </w:pPr>
      <w:r w:rsidRPr="00836FA8">
        <w:rPr>
          <w:rFonts w:ascii="Calibri" w:hAnsi="Calibri"/>
          <w:color w:val="000000"/>
          <w:sz w:val="22"/>
          <w:szCs w:val="22"/>
        </w:rPr>
        <w:t>This course is designed to provide art educators with various aspects of creating new, innovative art lessons for secondary and elementary curricula.  Emphasis will be placed upon philosophies associated with elementary and secondary art education production and the use of specific art tools, media, materials, and techniques to enhance student learning. Prerequisite: graduate standing.    </w:t>
      </w:r>
    </w:p>
    <w:p w:rsidR="00836FA8" w:rsidRPr="00836FA8" w:rsidRDefault="00836FA8" w:rsidP="00836FA8">
      <w:pPr>
        <w:rPr>
          <w:b/>
          <w:bCs/>
          <w:color w:val="000000"/>
          <w:sz w:val="22"/>
          <w:szCs w:val="22"/>
        </w:rPr>
      </w:pPr>
      <w:r w:rsidRPr="00836FA8">
        <w:rPr>
          <w:rFonts w:ascii="Calibri" w:hAnsi="Calibri"/>
          <w:b/>
          <w:bCs/>
          <w:color w:val="000000"/>
          <w:sz w:val="22"/>
          <w:szCs w:val="22"/>
        </w:rPr>
        <w:t>ART 5090. Leadership and Survey of Art Education (3) </w:t>
      </w:r>
    </w:p>
    <w:p w:rsidR="00836FA8" w:rsidRPr="00836FA8" w:rsidRDefault="00836FA8" w:rsidP="00836FA8">
      <w:pPr>
        <w:spacing w:after="120"/>
        <w:jc w:val="both"/>
        <w:rPr>
          <w:color w:val="000000"/>
          <w:sz w:val="22"/>
          <w:szCs w:val="22"/>
        </w:rPr>
      </w:pPr>
      <w:r w:rsidRPr="00836FA8">
        <w:rPr>
          <w:rFonts w:ascii="Calibri" w:hAnsi="Calibri"/>
          <w:color w:val="000000"/>
          <w:sz w:val="22"/>
          <w:szCs w:val="22"/>
        </w:rPr>
        <w:t xml:space="preserve">Emphasis is on acquiring the knowledge, skills, and dispositions needed for leadership roles in art education.  Students will analyze the philosophical and theoretical content of various models of </w:t>
      </w:r>
      <w:r w:rsidRPr="00836FA8">
        <w:rPr>
          <w:rFonts w:ascii="Calibri" w:hAnsi="Calibri"/>
          <w:color w:val="000000"/>
          <w:sz w:val="22"/>
          <w:szCs w:val="22"/>
        </w:rPr>
        <w:lastRenderedPageBreak/>
        <w:t>leadership.  The course provides a survey of development of current art education trends, issues and problems in the field by means of a critical inquiry. Prerequisite: graduate standing.</w:t>
      </w:r>
    </w:p>
    <w:p w:rsidR="00836FA8" w:rsidRPr="00836FA8" w:rsidRDefault="00836FA8" w:rsidP="00836FA8">
      <w:pPr>
        <w:rPr>
          <w:b/>
          <w:bCs/>
          <w:color w:val="000000"/>
          <w:sz w:val="22"/>
          <w:szCs w:val="22"/>
        </w:rPr>
      </w:pPr>
      <w:r w:rsidRPr="00836FA8">
        <w:rPr>
          <w:rFonts w:ascii="Calibri" w:hAnsi="Calibri"/>
          <w:b/>
          <w:bCs/>
          <w:color w:val="000000"/>
          <w:sz w:val="22"/>
          <w:szCs w:val="22"/>
        </w:rPr>
        <w:t>ART 5110. Art History Methods and Content (3) </w:t>
      </w:r>
    </w:p>
    <w:p w:rsidR="00836FA8" w:rsidRPr="00836FA8" w:rsidRDefault="00836FA8" w:rsidP="00836FA8">
      <w:pPr>
        <w:spacing w:after="120"/>
        <w:jc w:val="both"/>
        <w:rPr>
          <w:color w:val="000000"/>
          <w:sz w:val="22"/>
          <w:szCs w:val="22"/>
        </w:rPr>
      </w:pPr>
      <w:r w:rsidRPr="00836FA8">
        <w:rPr>
          <w:rFonts w:ascii="Calibri" w:hAnsi="Calibri"/>
          <w:color w:val="000000"/>
          <w:sz w:val="22"/>
          <w:szCs w:val="22"/>
        </w:rPr>
        <w:t>This course focuses on studies of appropriate art history methods and art history content for grades K-12.  This course includes the development of competency in art history, methods, and diverse inquiry procedures. Prerequisite: graduate standing</w:t>
      </w:r>
    </w:p>
    <w:p w:rsidR="00836FA8" w:rsidRPr="00836FA8" w:rsidRDefault="00836FA8" w:rsidP="00836FA8">
      <w:pPr>
        <w:rPr>
          <w:b/>
          <w:bCs/>
          <w:color w:val="000000"/>
          <w:sz w:val="22"/>
          <w:szCs w:val="22"/>
        </w:rPr>
      </w:pPr>
      <w:r w:rsidRPr="00836FA8">
        <w:rPr>
          <w:rFonts w:ascii="Calibri" w:hAnsi="Calibri"/>
          <w:b/>
          <w:bCs/>
          <w:color w:val="000000"/>
          <w:sz w:val="22"/>
          <w:szCs w:val="22"/>
        </w:rPr>
        <w:t>ART 5810.  Internship in K-12 Art Education (3)</w:t>
      </w:r>
    </w:p>
    <w:p w:rsidR="00836FA8" w:rsidRPr="00836FA8" w:rsidRDefault="00836FA8" w:rsidP="00836FA8">
      <w:pPr>
        <w:spacing w:after="120"/>
        <w:jc w:val="both"/>
        <w:rPr>
          <w:color w:val="000000"/>
          <w:sz w:val="22"/>
          <w:szCs w:val="22"/>
        </w:rPr>
      </w:pPr>
      <w:r w:rsidRPr="00836FA8">
        <w:rPr>
          <w:rFonts w:ascii="Calibri" w:hAnsi="Calibri"/>
          <w:color w:val="000000"/>
          <w:sz w:val="22"/>
          <w:szCs w:val="22"/>
        </w:rPr>
        <w:t>Ten week, full-time internship experiences in an off-campus public school setting appropriate for K-12 Art licensure.  Prerequisite: Approval of the Art Education Program Director.</w:t>
      </w:r>
    </w:p>
    <w:p w:rsidR="00836FA8" w:rsidRPr="00836FA8" w:rsidRDefault="00836FA8" w:rsidP="00836FA8">
      <w:pPr>
        <w:rPr>
          <w:b/>
          <w:bCs/>
          <w:color w:val="000000"/>
          <w:sz w:val="22"/>
          <w:szCs w:val="22"/>
        </w:rPr>
      </w:pPr>
      <w:r w:rsidRPr="00836FA8">
        <w:rPr>
          <w:rFonts w:ascii="Calibri" w:hAnsi="Calibri"/>
          <w:b/>
          <w:bCs/>
          <w:color w:val="000000"/>
          <w:sz w:val="22"/>
          <w:szCs w:val="22"/>
        </w:rPr>
        <w:t>ART 6000.  Thesis in Art Education (3)</w:t>
      </w:r>
    </w:p>
    <w:p w:rsidR="00836FA8" w:rsidRPr="00836FA8" w:rsidRDefault="00836FA8" w:rsidP="00836FA8">
      <w:pPr>
        <w:spacing w:after="120"/>
        <w:jc w:val="both"/>
        <w:rPr>
          <w:color w:val="000000"/>
          <w:sz w:val="22"/>
          <w:szCs w:val="22"/>
        </w:rPr>
      </w:pPr>
      <w:r w:rsidRPr="00836FA8">
        <w:rPr>
          <w:rFonts w:ascii="Calibri" w:hAnsi="Calibri"/>
          <w:color w:val="000000"/>
          <w:sz w:val="22"/>
          <w:szCs w:val="22"/>
        </w:rPr>
        <w:t>The student prepares a Master’s Degree thesis in the area of the student’s major under the individual direction of the student’s major advisor and thesis committee.  Graded on a Satisfactory (Pass [P]), Unsatisfactory (Fail [F]) basis.  Prerequisites: Completion of 18 semester hours of graduate work; EDN 5660; permission of the student’s major advisor; permission of the Dean of Graduate Studies.  The six required hours of thesis credit are earned by registering for this course in two separate semesters.</w:t>
      </w:r>
    </w:p>
    <w:p w:rsidR="00836FA8" w:rsidRPr="00836FA8" w:rsidRDefault="00836FA8" w:rsidP="00836FA8">
      <w:pPr>
        <w:rPr>
          <w:b/>
          <w:bCs/>
          <w:color w:val="000000"/>
          <w:sz w:val="22"/>
          <w:szCs w:val="22"/>
        </w:rPr>
      </w:pPr>
      <w:proofErr w:type="gramStart"/>
      <w:r w:rsidRPr="00836FA8">
        <w:rPr>
          <w:rFonts w:ascii="Calibri" w:hAnsi="Calibri"/>
          <w:b/>
          <w:bCs/>
          <w:color w:val="000000"/>
          <w:sz w:val="22"/>
          <w:szCs w:val="22"/>
        </w:rPr>
        <w:t>ARTS 5xxx.</w:t>
      </w:r>
      <w:proofErr w:type="gramEnd"/>
      <w:r w:rsidRPr="00836FA8">
        <w:rPr>
          <w:rFonts w:ascii="Calibri" w:hAnsi="Calibri"/>
          <w:b/>
          <w:bCs/>
          <w:color w:val="000000"/>
          <w:sz w:val="22"/>
          <w:szCs w:val="22"/>
        </w:rPr>
        <w:t xml:space="preserve"> Special Topics (3)</w:t>
      </w:r>
    </w:p>
    <w:p w:rsidR="00836FA8" w:rsidRPr="00836FA8" w:rsidRDefault="00836FA8" w:rsidP="00836FA8">
      <w:pPr>
        <w:spacing w:after="120"/>
        <w:jc w:val="both"/>
        <w:rPr>
          <w:color w:val="000000"/>
          <w:sz w:val="22"/>
          <w:szCs w:val="22"/>
        </w:rPr>
      </w:pPr>
      <w:r w:rsidRPr="00836FA8">
        <w:rPr>
          <w:rFonts w:ascii="Calibri" w:hAnsi="Calibri"/>
          <w:color w:val="000000"/>
          <w:sz w:val="22"/>
          <w:szCs w:val="22"/>
        </w:rPr>
        <w:t>This course is designed to fulfill individual and specific needs of art education graduate students’ particular area of advanced study.  Directed reading, research, production, and problem solving in the student’s area or areas of art studio elective(s) or art studio concentration are carried out by the student at the University and in the field under the supervision of the student’s major advisor and instructor. Course is repeatable with consent of the instructor.  Prerequisite: graduate standing</w:t>
      </w:r>
    </w:p>
    <w:p w:rsidR="00836FA8" w:rsidRPr="00836FA8" w:rsidRDefault="00836FA8" w:rsidP="00836FA8">
      <w:pPr>
        <w:spacing w:before="80"/>
        <w:jc w:val="both"/>
        <w:rPr>
          <w:color w:val="000000"/>
          <w:sz w:val="22"/>
          <w:szCs w:val="22"/>
        </w:rPr>
      </w:pPr>
      <w:r w:rsidRPr="00836FA8">
        <w:rPr>
          <w:rFonts w:ascii="Calibri" w:hAnsi="Calibri"/>
          <w:color w:val="000000"/>
          <w:sz w:val="22"/>
          <w:szCs w:val="22"/>
        </w:rPr>
        <w:t>        NOTE: For EDN course descriptions, see listings in the M.A.Ed. program.</w:t>
      </w:r>
    </w:p>
    <w:p w:rsidR="00306982" w:rsidRPr="00306982" w:rsidRDefault="00306982"/>
    <w:sectPr w:rsidR="00306982" w:rsidRPr="00306982" w:rsidSect="00D97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82"/>
    <w:rsid w:val="000B315D"/>
    <w:rsid w:val="000F144C"/>
    <w:rsid w:val="000F61EB"/>
    <w:rsid w:val="001834C9"/>
    <w:rsid w:val="0029516C"/>
    <w:rsid w:val="002E5636"/>
    <w:rsid w:val="00306982"/>
    <w:rsid w:val="00392F2A"/>
    <w:rsid w:val="004B15B5"/>
    <w:rsid w:val="004B64D9"/>
    <w:rsid w:val="005769C3"/>
    <w:rsid w:val="00643016"/>
    <w:rsid w:val="00670FF9"/>
    <w:rsid w:val="0073664D"/>
    <w:rsid w:val="00747922"/>
    <w:rsid w:val="00836FA8"/>
    <w:rsid w:val="008567A1"/>
    <w:rsid w:val="00892CA4"/>
    <w:rsid w:val="009759B1"/>
    <w:rsid w:val="009E34C6"/>
    <w:rsid w:val="00AB4105"/>
    <w:rsid w:val="00B979F1"/>
    <w:rsid w:val="00C1002E"/>
    <w:rsid w:val="00C82A47"/>
    <w:rsid w:val="00D26151"/>
    <w:rsid w:val="00D9715A"/>
    <w:rsid w:val="00E629F0"/>
    <w:rsid w:val="00EA2C22"/>
    <w:rsid w:val="00F5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6982"/>
    <w:pPr>
      <w:spacing w:before="100" w:beforeAutospacing="1" w:after="100" w:afterAutospacing="1"/>
    </w:pPr>
  </w:style>
  <w:style w:type="paragraph" w:customStyle="1" w:styleId="subhead2">
    <w:name w:val="subhead2"/>
    <w:basedOn w:val="Normal"/>
    <w:rsid w:val="000F144C"/>
    <w:pPr>
      <w:spacing w:before="100" w:beforeAutospacing="1" w:after="100" w:afterAutospacing="1"/>
    </w:pPr>
  </w:style>
  <w:style w:type="paragraph" w:customStyle="1" w:styleId="plain">
    <w:name w:val="plain"/>
    <w:basedOn w:val="Normal"/>
    <w:rsid w:val="000F144C"/>
    <w:pPr>
      <w:spacing w:before="100" w:beforeAutospacing="1" w:after="100" w:afterAutospacing="1"/>
    </w:pPr>
  </w:style>
  <w:style w:type="paragraph" w:styleId="BalloonText">
    <w:name w:val="Balloon Text"/>
    <w:basedOn w:val="Normal"/>
    <w:link w:val="BalloonTextChar"/>
    <w:uiPriority w:val="99"/>
    <w:semiHidden/>
    <w:unhideWhenUsed/>
    <w:rsid w:val="00670FF9"/>
    <w:rPr>
      <w:rFonts w:ascii="Tahoma" w:hAnsi="Tahoma" w:cs="Tahoma"/>
      <w:sz w:val="16"/>
      <w:szCs w:val="16"/>
    </w:rPr>
  </w:style>
  <w:style w:type="character" w:customStyle="1" w:styleId="BalloonTextChar">
    <w:name w:val="Balloon Text Char"/>
    <w:basedOn w:val="DefaultParagraphFont"/>
    <w:link w:val="BalloonText"/>
    <w:uiPriority w:val="99"/>
    <w:semiHidden/>
    <w:rsid w:val="00670F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6982"/>
    <w:pPr>
      <w:spacing w:before="100" w:beforeAutospacing="1" w:after="100" w:afterAutospacing="1"/>
    </w:pPr>
  </w:style>
  <w:style w:type="paragraph" w:customStyle="1" w:styleId="subhead2">
    <w:name w:val="subhead2"/>
    <w:basedOn w:val="Normal"/>
    <w:rsid w:val="000F144C"/>
    <w:pPr>
      <w:spacing w:before="100" w:beforeAutospacing="1" w:after="100" w:afterAutospacing="1"/>
    </w:pPr>
  </w:style>
  <w:style w:type="paragraph" w:customStyle="1" w:styleId="plain">
    <w:name w:val="plain"/>
    <w:basedOn w:val="Normal"/>
    <w:rsid w:val="000F144C"/>
    <w:pPr>
      <w:spacing w:before="100" w:beforeAutospacing="1" w:after="100" w:afterAutospacing="1"/>
    </w:pPr>
  </w:style>
  <w:style w:type="paragraph" w:styleId="BalloonText">
    <w:name w:val="Balloon Text"/>
    <w:basedOn w:val="Normal"/>
    <w:link w:val="BalloonTextChar"/>
    <w:uiPriority w:val="99"/>
    <w:semiHidden/>
    <w:unhideWhenUsed/>
    <w:rsid w:val="00670FF9"/>
    <w:rPr>
      <w:rFonts w:ascii="Tahoma" w:hAnsi="Tahoma" w:cs="Tahoma"/>
      <w:sz w:val="16"/>
      <w:szCs w:val="16"/>
    </w:rPr>
  </w:style>
  <w:style w:type="character" w:customStyle="1" w:styleId="BalloonTextChar">
    <w:name w:val="Balloon Text Char"/>
    <w:basedOn w:val="DefaultParagraphFont"/>
    <w:link w:val="BalloonText"/>
    <w:uiPriority w:val="99"/>
    <w:semiHidden/>
    <w:rsid w:val="00670F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45256">
      <w:bodyDiv w:val="1"/>
      <w:marLeft w:val="0"/>
      <w:marRight w:val="0"/>
      <w:marTop w:val="0"/>
      <w:marBottom w:val="0"/>
      <w:divBdr>
        <w:top w:val="none" w:sz="0" w:space="0" w:color="auto"/>
        <w:left w:val="none" w:sz="0" w:space="0" w:color="auto"/>
        <w:bottom w:val="none" w:sz="0" w:space="0" w:color="auto"/>
        <w:right w:val="none" w:sz="0" w:space="0" w:color="auto"/>
      </w:divBdr>
    </w:div>
    <w:div w:id="1356493431">
      <w:bodyDiv w:val="1"/>
      <w:marLeft w:val="0"/>
      <w:marRight w:val="0"/>
      <w:marTop w:val="0"/>
      <w:marBottom w:val="0"/>
      <w:divBdr>
        <w:top w:val="none" w:sz="0" w:space="0" w:color="auto"/>
        <w:left w:val="none" w:sz="0" w:space="0" w:color="auto"/>
        <w:bottom w:val="none" w:sz="0" w:space="0" w:color="auto"/>
        <w:right w:val="none" w:sz="0" w:space="0" w:color="auto"/>
      </w:divBdr>
    </w:div>
    <w:div w:id="1729837374">
      <w:bodyDiv w:val="1"/>
      <w:marLeft w:val="0"/>
      <w:marRight w:val="0"/>
      <w:marTop w:val="0"/>
      <w:marBottom w:val="0"/>
      <w:divBdr>
        <w:top w:val="none" w:sz="0" w:space="0" w:color="auto"/>
        <w:left w:val="none" w:sz="0" w:space="0" w:color="auto"/>
        <w:bottom w:val="none" w:sz="0" w:space="0" w:color="auto"/>
        <w:right w:val="none" w:sz="0" w:space="0" w:color="auto"/>
      </w:divBdr>
      <w:divsChild>
        <w:div w:id="1884125348">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861</Words>
  <Characters>4913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uncp</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uncp</dc:creator>
  <cp:lastModifiedBy>UNC Pembroke</cp:lastModifiedBy>
  <cp:revision>2</cp:revision>
  <cp:lastPrinted>2015-02-09T19:11:00Z</cp:lastPrinted>
  <dcterms:created xsi:type="dcterms:W3CDTF">2015-02-09T19:18:00Z</dcterms:created>
  <dcterms:modified xsi:type="dcterms:W3CDTF">2015-02-09T19:18:00Z</dcterms:modified>
</cp:coreProperties>
</file>